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 policy</w:t>
      </w:r>
    </w:p>
    <w:bookmarkStart w:id="20" w:name="_cf2169bf10477300e5d658adb3d7a7b03bf63f7"/>
    <w:p>
      <w:pPr>
        <w:pStyle w:val="Heading1"/>
      </w:pPr>
      <w:r>
        <w:t xml:space="preserve">AI policy</w:t>
      </w:r>
    </w:p>
    <w:p>
      <w:pPr>
        <w:pStyle w:val="BlockText"/>
      </w:pPr>
      <w:r>
        <w:rPr>
          <w:b/>
          <w:bCs/>
        </w:rPr>
        <w:t xml:space="preserve">This policy sorts AI tools into three categories, each with its own rules,</w:t>
      </w:r>
      <w:r>
        <w:t xml:space="preserve"> </w:t>
      </w:r>
      <w:r>
        <w:t xml:space="preserve">so the safe uses are written down as well as the forbidden ones. Update Category 3 for the tools you actually use, and re-check vendors' AI features and business associate agreement (BAA) coverage at each annual review. For what the permitted uses look like day to day, see</w:t>
      </w:r>
      <w:r>
        <w:t xml:space="preserve"> </w:t>
      </w:r>
      <w:hyperlink r:id="rId9">
        <w:r>
          <w:rPr>
            <w:rStyle w:val="Hyperlink"/>
          </w:rPr>
          <w:t xml:space="preserve">using AI to run the practice</w:t>
        </w:r>
      </w:hyperlink>
      <w:r>
        <w:t xml:space="preserve">.</w:t>
      </w:r>
    </w:p>
    <w:p>
      <w:pPr>
        <w:pStyle w:val="FirstParagraph"/>
      </w:pPr>
      <w:r>
        <w:rPr>
          <w:b/>
          <w:bCs/>
        </w:rPr>
        <w:t xml:space="preserve">Practice:</w:t>
      </w:r>
      <w:r>
        <w:t xml:space="preserve"> </w:t>
      </w:r>
      <w:r>
        <w:t xml:space="preserve">[Practice Name]</w:t>
      </w:r>
      <w:r>
        <w:t xml:space="preserve"> </w:t>
      </w:r>
      <w:r>
        <w:rPr>
          <w:b/>
          <w:bCs/>
        </w:rPr>
        <w:t xml:space="preserve">Effective:</w:t>
      </w:r>
      <w:r>
        <w:t xml:space="preserve"> </w:t>
      </w:r>
      <w:r>
        <w:t xml:space="preserve">[Date]</w:t>
      </w:r>
      <w:r>
        <w:t xml:space="preserve"> </w:t>
      </w:r>
      <w:r>
        <w:rPr>
          <w:b/>
          <w:bCs/>
        </w:rPr>
        <w:t xml:space="preserve">Last reviewed:</w:t>
      </w:r>
      <w:r>
        <w:t xml:space="preserve"> </w:t>
      </w:r>
      <w:r>
        <w:t xml:space="preserve">[Date]</w:t>
      </w:r>
      <w:r>
        <w:t xml:space="preserve"> </w:t>
      </w:r>
      <w:r>
        <w:rPr>
          <w:b/>
          <w:bCs/>
        </w:rPr>
        <w:t xml:space="preserve">Reviewed by:</w:t>
      </w:r>
      <w:r>
        <w:t xml:space="preserve"> </w:t>
      </w:r>
      <w:r>
        <w:t xml:space="preserve">[Your Name], Privacy &amp; Security Officer</w:t>
      </w:r>
      <w:r>
        <w:t xml:space="preserve"> </w:t>
      </w:r>
      <w:r>
        <w:rPr>
          <w:b/>
          <w:bCs/>
        </w:rPr>
        <w:t xml:space="preserve">Review cadence:</w:t>
      </w:r>
      <w:r>
        <w:t xml:space="preserve"> </w:t>
      </w:r>
      <w:r>
        <w:t xml:space="preserve">Annual, and whenever AI tooling or U.S. Department of Health and Human Services (HHS) guidance changes materially</w:t>
      </w:r>
    </w:p>
    <w:p>
      <w:r>
        <w:pict>
          <v:rect style="width:0;height:1.5pt" o:hralign="center" o:hrstd="t" o:hr="t"/>
        </w:pict>
      </w:r>
    </w:p>
    <w:bookmarkStart w:id="10" w:name="_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Keeps the practice's use of artificial-intelligence tools within HIPAA's Privacy and Security Rules. AI tools fall into three categories: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General-purpose AI without a BAA:</w:t>
      </w:r>
      <w:r>
        <w:t xml:space="preserve"> </w:t>
      </w:r>
      <w:r>
        <w:t xml:space="preserve">consumer or standard business tiers of ChatGPT, Claude, Gemini, Perplexity, and similar.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Clinical AI with a BAA:</w:t>
      </w:r>
      <w:r>
        <w:t xml:space="preserve"> </w:t>
      </w:r>
      <w:r>
        <w:t xml:space="preserve">AI scribes and note assistants built for behavioral health that sign BAAs.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 features embedded in tools the practice already uses:</w:t>
      </w:r>
      <w:r>
        <w:t xml:space="preserve"> </w:t>
      </w:r>
      <w:r>
        <w:t xml:space="preserve">the electronic health record (EHR), email suite, and operating system. Coverage depends on whether the vendor's existing BAA extends to the feature.</w:t>
      </w:r>
    </w:p>
    <w:bookmarkEnd w:id="10"/>
    <w:bookmarkStart w:id="11" w:name="_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Any use of AI in practice business (documentation, scheduling, billing, marketing, administration, professional communication, and research), including by any future contractor. Personal, non-practice use is out of scope.</w:t>
      </w:r>
    </w:p>
    <w:p>
      <w:r>
        <w:pict>
          <v:rect style="width:0;height:1.5pt" o:hralign="center" o:hrstd="t" o:hr="t"/>
        </w:pict>
      </w:r>
    </w:p>
    <w:bookmarkEnd w:id="11"/>
    <w:bookmarkStart w:id="12" w:name="_6a71aa74663a87b229bdf2c3ddaa375da9601fc"/>
    <w:p>
      <w:pPr>
        <w:pStyle w:val="Heading2"/>
      </w:pPr>
      <w:r>
        <w:t xml:space="preserve">Category 1: General-purpose AI without a BAA</w:t>
      </w:r>
    </w:p>
    <w:p>
      <w:pPr>
        <w:pStyle w:val="FirstParagraph"/>
      </w:pPr>
      <w:r>
        <w:rPr>
          <w:b/>
          <w:bCs/>
        </w:rPr>
        <w:t xml:space="preserve">No protected health information (PHI). None.</w:t>
      </w:r>
      <w:r>
        <w:t xml:space="preserve"> </w:t>
      </w:r>
      <w:r>
        <w:t xml:space="preserve">That includes:</w:t>
      </w:r>
    </w:p>
    <w:p>
      <w:pPr>
        <w:pStyle w:val="Compact"/>
        <w:numPr>
          <w:ilvl w:val="0"/>
          <w:numId w:val="1002"/>
        </w:numPr>
      </w:pPr>
      <w:r>
        <w:t xml:space="preserve">names, initials, nicknames, dates of birth, addresses, phone numbers, emails</w:t>
      </w:r>
    </w:p>
    <w:p>
      <w:pPr>
        <w:pStyle w:val="Compact"/>
        <w:numPr>
          <w:ilvl w:val="0"/>
          <w:numId w:val="1002"/>
        </w:numPr>
      </w:pPr>
      <w:r>
        <w:t xml:space="preserve">session or appointment dates tied to a client</w:t>
      </w:r>
    </w:p>
    <w:p>
      <w:pPr>
        <w:pStyle w:val="Compact"/>
        <w:numPr>
          <w:ilvl w:val="0"/>
          <w:numId w:val="1002"/>
        </w:numPr>
      </w:pPr>
      <w:r>
        <w:t xml:space="preserve">diagnoses, presenting concerns, treatment-plan content</w:t>
      </w:r>
    </w:p>
    <w:p>
      <w:pPr>
        <w:pStyle w:val="Compact"/>
        <w:numPr>
          <w:ilvl w:val="0"/>
          <w:numId w:val="1002"/>
        </w:numPr>
      </w:pPr>
      <w:r>
        <w:t xml:space="preserve">direct quotes or close paraphrases from sessions</w:t>
      </w:r>
    </w:p>
    <w:p>
      <w:pPr>
        <w:pStyle w:val="Compact"/>
        <w:numPr>
          <w:ilvl w:val="0"/>
          <w:numId w:val="1002"/>
        </w:numPr>
      </w:pPr>
      <w:r>
        <w:t xml:space="preserve">payment or insurance details for a specific client</w:t>
      </w:r>
    </w:p>
    <w:p>
      <w:pPr>
        <w:pStyle w:val="Compact"/>
        <w:numPr>
          <w:ilvl w:val="0"/>
          <w:numId w:val="1002"/>
        </w:numPr>
      </w:pPr>
      <w:r>
        <w:t xml:space="preserve">any</w:t>
      </w:r>
      <w:r>
        <w:t xml:space="preserve"> </w:t>
      </w:r>
      <w:r>
        <w:rPr>
          <w:i/>
          <w:iCs/>
        </w:rPr>
        <w:t xml:space="preserve">combination</w:t>
      </w:r>
      <w:r>
        <w:t xml:space="preserve"> </w:t>
      </w:r>
      <w:r>
        <w:t xml:space="preserve">of details (city, occupation, and presenting problem) that could identify someone</w:t>
      </w:r>
    </w:p>
    <w:p>
      <w:pPr>
        <w:pStyle w:val="FirstParagraph"/>
      </w:pPr>
      <w:r>
        <w:rPr>
          <w:b/>
          <w:bCs/>
        </w:rPr>
        <w:t xml:space="preserve">Permitted:</w:t>
      </w:r>
    </w:p>
    <w:p>
      <w:pPr>
        <w:pStyle w:val="Compact"/>
        <w:numPr>
          <w:ilvl w:val="0"/>
          <w:numId w:val="1003"/>
        </w:numPr>
      </w:pPr>
      <w:r>
        <w:t xml:space="preserve">Drafting non-PHI content: website copy, blog posts, bios, directory profiles, colleague outreach, vendor emails, and templates.</w:t>
      </w:r>
    </w:p>
    <w:p>
      <w:pPr>
        <w:pStyle w:val="Compact"/>
        <w:numPr>
          <w:ilvl w:val="0"/>
          <w:numId w:val="1003"/>
        </w:numPr>
      </w:pPr>
      <w:r>
        <w:t xml:space="preserve">Research on clinical topics, interventions, theory, continuing education.</w:t>
      </w:r>
    </w:p>
    <w:p>
      <w:pPr>
        <w:pStyle w:val="Compact"/>
        <w:numPr>
          <w:ilvl w:val="0"/>
          <w:numId w:val="1003"/>
        </w:numPr>
      </w:pPr>
      <w:r>
        <w:t xml:space="preserve">Creating general psychoeducational handouts not tied to a client.</w:t>
      </w:r>
    </w:p>
    <w:p>
      <w:pPr>
        <w:pStyle w:val="Compact"/>
        <w:numPr>
          <w:ilvl w:val="0"/>
          <w:numId w:val="1003"/>
        </w:numPr>
      </w:pPr>
      <w:r>
        <w:t xml:space="preserve">Practice administration: drafting policies, bookkeeping structure, technology questions.</w:t>
      </w:r>
    </w:p>
    <w:p>
      <w:pPr>
        <w:pStyle w:val="Compact"/>
        <w:numPr>
          <w:ilvl w:val="0"/>
          <w:numId w:val="1003"/>
        </w:numPr>
      </w:pPr>
      <w:r>
        <w:t xml:space="preserve">Website and technical work.</w:t>
      </w:r>
    </w:p>
    <w:p>
      <w:pPr>
        <w:pStyle w:val="FirstParagraph"/>
      </w:pPr>
      <w:r>
        <w:rPr>
          <w:b/>
          <w:bCs/>
        </w:rPr>
        <w:t xml:space="preserve">De-identification standard:</w:t>
      </w:r>
      <w:r>
        <w:t xml:space="preserve"> </w:t>
      </w:r>
      <w:r>
        <w:t xml:space="preserve">when drawing on case experience to ask a general question, remove all 18 HIPAA Safe Harbor identifiers (45 CFR §164.514(b)(2))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make sure what remains couldn't identify the person in combination. When in doubt, leave the detail out.</w:t>
      </w:r>
    </w:p>
    <w:bookmarkEnd w:id="12"/>
    <w:bookmarkStart w:id="13" w:name="_45f19c3649a9d4e910dbcfeea30334136d62f09"/>
    <w:p>
      <w:pPr>
        <w:pStyle w:val="Heading2"/>
      </w:pPr>
      <w:r>
        <w:t xml:space="preserve">Category 2: Clinical AI with a BAA</w:t>
      </w:r>
    </w:p>
    <w:p>
      <w:pPr>
        <w:pStyle w:val="FirstParagraph"/>
      </w:pPr>
      <w:r>
        <w:t xml:space="preserve">Permitted for the specific clinical use the BAA covers, only when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of these are true:</w:t>
      </w:r>
    </w:p>
    <w:p>
      <w:pPr>
        <w:pStyle w:val="Compact"/>
        <w:numPr>
          <w:ilvl w:val="0"/>
          <w:numId w:val="1004"/>
        </w:numPr>
      </w:pPr>
      <w:r>
        <w:t xml:space="preserve">A signed BAA is on file with the vendor.</w:t>
      </w:r>
    </w:p>
    <w:p>
      <w:pPr>
        <w:pStyle w:val="Compact"/>
        <w:numPr>
          <w:ilvl w:val="0"/>
          <w:numId w:val="1004"/>
        </w:numPr>
      </w:pPr>
      <w:r>
        <w:t xml:space="preserve">The BAA covers this specific use (transcription, summarization, note drafting).</w:t>
      </w:r>
    </w:p>
    <w:p>
      <w:pPr>
        <w:pStyle w:val="Compact"/>
        <w:numPr>
          <w:ilvl w:val="0"/>
          <w:numId w:val="1004"/>
        </w:numPr>
      </w:pPr>
      <w:r>
        <w:t xml:space="preserve">The tool has been added to the Security Risk Analysis system inventory.</w:t>
      </w:r>
    </w:p>
    <w:p>
      <w:pPr>
        <w:pStyle w:val="Compact"/>
        <w:numPr>
          <w:ilvl w:val="0"/>
          <w:numId w:val="1004"/>
        </w:numPr>
      </w:pPr>
      <w:r>
        <w:t xml:space="preserve">Adoption is recorded in the HIPAA Process Log.</w:t>
      </w:r>
    </w:p>
    <w:p>
      <w:pPr>
        <w:pStyle w:val="Compact"/>
        <w:numPr>
          <w:ilvl w:val="0"/>
          <w:numId w:val="1004"/>
        </w:numPr>
      </w:pPr>
      <w:r>
        <w:t xml:space="preserve">Clients are told in the Disclosure Statement/Informed Consent (including whether sessions are recorded) and can decline without losing access to services.</w:t>
      </w:r>
    </w:p>
    <w:p>
      <w:pPr>
        <w:pStyle w:val="Compact"/>
        <w:numPr>
          <w:ilvl w:val="0"/>
          <w:numId w:val="1004"/>
        </w:numPr>
      </w:pPr>
      <w:r>
        <w:t xml:space="preserve">The practitioner reviews every AI output before it enters the record. AI output is never the sole source of truth in the chart.</w:t>
      </w:r>
    </w:p>
    <w:p>
      <w:pPr>
        <w:pStyle w:val="FirstParagraph"/>
      </w:pPr>
      <w:r>
        <w:rPr>
          <w:b/>
          <w:bCs/>
        </w:rPr>
        <w:t xml:space="preserve">Tools in use: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Tool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BAA on file</w:t>
            </w:r>
          </w:p>
        </w:tc>
        <w:tc>
          <w:tcPr/>
          <w:p>
            <w:pPr>
              <w:pStyle w:val="Compact"/>
            </w:pPr>
            <w:r>
              <w:t xml:space="preserve">Date added</w:t>
            </w:r>
          </w:p>
        </w:tc>
        <w:tc>
          <w:tcPr/>
          <w:p>
            <w:pPr>
              <w:pStyle w:val="Compact"/>
            </w:pPr>
            <w:r>
              <w:t xml:space="preserve">Consent language updated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[None as of date]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rPr>
          <w:b/>
          <w:bCs/>
        </w:rPr>
        <w:t xml:space="preserve">Before adopting one:</w:t>
      </w:r>
      <w:r>
        <w:t xml:space="preserve"> </w:t>
      </w:r>
      <w:r>
        <w:t xml:space="preserve">review its data flow, retention, sub-processors, and breach history, and update the risk analysis.</w:t>
      </w:r>
    </w:p>
    <w:bookmarkEnd w:id="13"/>
    <w:bookmarkStart w:id="14" w:name="_6f6751a26a84a27a8bb04ad997d51ec42b0f4ee"/>
    <w:p>
      <w:pPr>
        <w:pStyle w:val="Heading2"/>
      </w:pPr>
      <w:r>
        <w:t xml:space="preserve">Category 3: Embedded AI features</w:t>
      </w:r>
    </w:p>
    <w:p>
      <w:pPr>
        <w:pStyle w:val="FirstParagraph"/>
      </w:pPr>
      <w:r>
        <w:t xml:space="preserve">Default posture:</w:t>
      </w:r>
      <w:r>
        <w:t xml:space="preserve"> </w:t>
      </w:r>
      <w:r>
        <w:rPr>
          <w:b/>
          <w:bCs/>
        </w:rPr>
        <w:t xml:space="preserve">turn off AI features that send data outside the BAA-covered path</w:t>
      </w:r>
      <w:r>
        <w:t xml:space="preserve">, unless the vendor states in writing that the existing BAA covers the feature.</w:t>
      </w:r>
    </w:p>
    <w:p>
      <w:pPr>
        <w:pStyle w:val="BodyText"/>
      </w:pPr>
      <w:r>
        <w:t xml:space="preserve">Document each one: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[EHR] AI features</w:t>
      </w:r>
      <w:r>
        <w:t xml:space="preserve"> </w:t>
      </w:r>
      <w:r>
        <w:t xml:space="preserve">(e.g. AI note-takers): if it processes session content, it's Category 2; apply that checklist before enabling. [Status: not enabled / enabled on date.]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[Email suite] AI features</w:t>
      </w:r>
      <w:r>
        <w:t xml:space="preserve"> </w:t>
      </w:r>
      <w:r>
        <w:t xml:space="preserve">(e.g. Gemini in Google Workspace, Copilot in Microsoft 365): check the vendor's list of BAA-covered services, which may exclude some surfaces (such as a browser-sidebar assistant). Record which is which. [Status.]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Operating-system AI</w:t>
      </w:r>
      <w:r>
        <w:t xml:space="preserve"> </w:t>
      </w:r>
      <w:r>
        <w:t xml:space="preserve">(e.g. Apple Intelligence, Windows Copilot): no BAA is offered. Do not deliberately run these on content that identifies a client. [Record your posture.]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Browser extensions and writing assistants</w:t>
      </w:r>
      <w:r>
        <w:t xml:space="preserve"> </w:t>
      </w:r>
      <w:r>
        <w:t xml:space="preserve">(AI summarizers, grammar tools): not installed in the work environment unless BAA-vetted, since many send what you type to their servers.</w:t>
      </w:r>
    </w:p>
    <w:bookmarkEnd w:id="14"/>
    <w:bookmarkStart w:id="15" w:name="_70930f8314eb4803b30b8052cb4d5f2204a421e"/>
    <w:p>
      <w:pPr>
        <w:pStyle w:val="Heading2"/>
      </w:pPr>
      <w:r>
        <w:t xml:space="preserve">Cross-cutting rules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No recording without explicit written consent</w:t>
      </w:r>
      <w:r>
        <w:t xml:space="preserve">, even with a BAA-covered tool.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No PHI in search bars, URLs, or web-form free-text fields</w:t>
      </w:r>
      <w:r>
        <w:t xml:space="preserve"> </w:t>
      </w:r>
      <w:r>
        <w:t xml:space="preserve">that aren't BAA-covered.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No PHI in screenshots</w:t>
      </w:r>
      <w:r>
        <w:t xml:space="preserve"> </w:t>
      </w:r>
      <w:r>
        <w:t xml:space="preserve">shared with AI tools for tech help.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No AI in place of clinical judgment</w:t>
      </w:r>
      <w:r>
        <w:t xml:space="preserve"> </w:t>
      </w:r>
      <w:r>
        <w:t xml:space="preserve">on high-stakes decisions. Output is advisory.</w:t>
      </w:r>
    </w:p>
    <w:p>
      <w:r>
        <w:pict>
          <v:rect style="width:0;height:1.5pt" o:hralign="center" o:hrstd="t" o:hr="t"/>
        </w:pict>
      </w:r>
    </w:p>
    <w:bookmarkEnd w:id="15"/>
    <w:bookmarkStart w:id="16" w:name="_16021bcb86bae18ddae1e99ece59d6e9d00ab46"/>
    <w:p>
      <w:pPr>
        <w:pStyle w:val="Heading2"/>
      </w:pPr>
      <w:r>
        <w:t xml:space="preserve">Practitioner-specific notes</w:t>
      </w:r>
    </w:p>
    <w:p>
      <w:pPr>
        <w:pStyle w:val="FirstParagraph"/>
      </w:pPr>
      <w:r>
        <w:t xml:space="preserve">[Describe your actual use honestly, e.g. "The practitioner uses [tool] for marketing copy, policy drafting, and administrative tasks. This is Category 1; no PHI is entered under any circumstance. Output is reviewed before use."]</w:t>
      </w:r>
    </w:p>
    <w:bookmarkEnd w:id="16"/>
    <w:bookmarkStart w:id="17" w:name="_2193ba34f87a2dc6bdbcdb3dc5c6b5a51931e46"/>
    <w:p>
      <w:pPr>
        <w:pStyle w:val="Heading2"/>
      </w:pPr>
      <w:r>
        <w:t xml:space="preserve">Client-facing disclosure</w:t>
      </w:r>
    </w:p>
    <w:p>
      <w:pPr>
        <w:pStyle w:val="FirstParagraph"/>
      </w:pPr>
      <w:r>
        <w:t xml:space="preserve">If a Category 2 tool is adopted, update the Disclosure Statement to cover: the tool's name and purpose, what client information it accesses, whether sessions are recorded or transcribed, the BAA and where retention is handled, and the client's right to decline.</w:t>
      </w:r>
    </w:p>
    <w:bookmarkEnd w:id="17"/>
    <w:bookmarkStart w:id="18" w:name="_incidents"/>
    <w:p>
      <w:pPr>
        <w:pStyle w:val="Heading2"/>
      </w:pPr>
      <w:r>
        <w:t xml:space="preserve">Incidents</w:t>
      </w:r>
    </w:p>
    <w:p>
      <w:pPr>
        <w:pStyle w:val="FirstParagraph"/>
      </w:pPr>
      <w:r>
        <w:t xml:space="preserve">If PHI is entered into a Category 1 tool:</w:t>
      </w:r>
    </w:p>
    <w:p>
      <w:pPr>
        <w:pStyle w:val="Compact"/>
        <w:numPr>
          <w:ilvl w:val="0"/>
          <w:numId w:val="1007"/>
        </w:numPr>
      </w:pPr>
      <w:r>
        <w:t xml:space="preserve">Stop. Don't continue that conversation.</w:t>
      </w:r>
    </w:p>
    <w:p>
      <w:pPr>
        <w:pStyle w:val="Compact"/>
        <w:numPr>
          <w:ilvl w:val="0"/>
          <w:numId w:val="1007"/>
        </w:numPr>
      </w:pPr>
      <w:r>
        <w:t xml:space="preserve">Run the four-factor breach assessment (HIPAA policies and procedures, under Breach notification).</w:t>
      </w:r>
    </w:p>
    <w:p>
      <w:pPr>
        <w:pStyle w:val="Compact"/>
        <w:numPr>
          <w:ilvl w:val="0"/>
          <w:numId w:val="1007"/>
        </w:numPr>
      </w:pPr>
      <w:r>
        <w:t xml:space="preserve">Log it in the Process Log.</w:t>
      </w:r>
    </w:p>
    <w:p>
      <w:pPr>
        <w:pStyle w:val="Compact"/>
        <w:numPr>
          <w:ilvl w:val="0"/>
          <w:numId w:val="1007"/>
        </w:numPr>
      </w:pPr>
      <w:r>
        <w:t xml:space="preserve">Use the vendor's delete function if one exists, knowing it may not reach backups.</w:t>
      </w:r>
    </w:p>
    <w:p>
      <w:pPr>
        <w:pStyle w:val="Compact"/>
        <w:numPr>
          <w:ilvl w:val="0"/>
          <w:numId w:val="1007"/>
        </w:numPr>
      </w:pPr>
      <w:r>
        <w:t xml:space="preserve">Decide whether notification is required.</w:t>
      </w:r>
    </w:p>
    <w:bookmarkEnd w:id="18"/>
    <w:bookmarkStart w:id="19" w:name="_review"/>
    <w:p>
      <w:pPr>
        <w:pStyle w:val="Heading2"/>
      </w:pPr>
      <w:r>
        <w:t xml:space="preserve">Review</w:t>
      </w:r>
    </w:p>
    <w:p>
      <w:pPr>
        <w:pStyle w:val="FirstParagraph"/>
      </w:pPr>
      <w:r>
        <w:t xml:space="preserve">Reviewed annually and on adoption of any new AI tool, material HHS guidance on AI, a vendor changing its HIPAA position, or any incident or near-miss.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Template shared in the Private Practice Toolkit. Not legal, tax, clinical, or compliance advice.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toolkit.marcusberley.com/using-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toolkit.marcusberley.com/using-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policy</dc:title>
  <dc:creator/>
  <cp:keywords/>
  <dcterms:created xsi:type="dcterms:W3CDTF">2026-10-11T11:52:08Z</dcterms:created>
  <dcterms:modified xsi:type="dcterms:W3CDTF">2026-10-11T11:52:08Z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