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 retention and destruction policy</w:t>
      </w:r>
    </w:p>
    <w:bookmarkStart w:id="27" w:name="_31262cfea80aa12611e6c60ecdf2c193a3c63c3"/>
    <w:p>
      <w:pPr>
        <w:pStyle w:val="Heading1"/>
      </w:pPr>
      <w:r>
        <w:t xml:space="preserve">Data retention and destruction policy</w:t>
      </w:r>
    </w:p>
    <w:p>
      <w:pPr>
        <w:pStyle w:val="BlockText"/>
      </w:pPr>
      <w:r>
        <w:rPr>
          <w:b/>
          <w:bCs/>
        </w:rPr>
        <w:t xml:space="preserve">Covers Washington and Rhode Island.</w:t>
      </w:r>
      <w:r>
        <w:t xml:space="preserve"> </w:t>
      </w:r>
      <w:r>
        <w:t xml:space="preserve">Delete the state you're not licensed in, and</w:t>
      </w:r>
      <w:r>
        <w:t xml:space="preserve"> </w:t>
      </w:r>
      <w:r>
        <w:rPr>
          <w:b/>
          <w:bCs/>
        </w:rPr>
        <w:t xml:space="preserve">verify the current citations for your license type</w:t>
      </w:r>
      <w:r>
        <w:t xml:space="preserve"> </w:t>
      </w:r>
      <w:r>
        <w:t xml:space="preserve">before adopting, since rules are amended. Licensed in both? Apply the longer period (for adults, both are 7 years).</w:t>
      </w:r>
    </w:p>
    <w:p>
      <w:pPr>
        <w:pStyle w:val="FirstParagraph"/>
      </w:pPr>
      <w:r>
        <w:rPr>
          <w:b/>
          <w:bCs/>
        </w:rPr>
        <w:t xml:space="preserve">Practice:</w:t>
      </w:r>
      <w:r>
        <w:t xml:space="preserve"> </w:t>
      </w:r>
      <w:r>
        <w:t xml:space="preserve">[Practice Name]</w:t>
      </w:r>
      <w:r>
        <w:t xml:space="preserve"> </w:t>
      </w:r>
      <w:r>
        <w:rPr>
          <w:b/>
          <w:bCs/>
        </w:rPr>
        <w:t xml:space="preserve">Effective:</w:t>
      </w:r>
      <w:r>
        <w:t xml:space="preserve"> </w:t>
      </w:r>
      <w:r>
        <w:t xml:space="preserve">[Date]</w:t>
      </w:r>
      <w:r>
        <w:t xml:space="preserve"> </w:t>
      </w:r>
      <w:r>
        <w:rPr>
          <w:b/>
          <w:bCs/>
        </w:rPr>
        <w:t xml:space="preserve">Last reviewed:</w:t>
      </w:r>
      <w:r>
        <w:t xml:space="preserve"> </w:t>
      </w:r>
      <w:r>
        <w:t xml:space="preserve">[Date]</w:t>
      </w:r>
      <w:r>
        <w:t xml:space="preserve"> </w:t>
      </w:r>
      <w:r>
        <w:rPr>
          <w:b/>
          <w:bCs/>
        </w:rPr>
        <w:t xml:space="preserve">Reviewed by:</w:t>
      </w:r>
      <w:r>
        <w:t xml:space="preserve"> </w:t>
      </w:r>
      <w:r>
        <w:t xml:space="preserve">[Your Name], Privacy &amp; Security Officer</w:t>
      </w:r>
      <w:r>
        <w:t xml:space="preserve"> </w:t>
      </w:r>
      <w:r>
        <w:rPr>
          <w:b/>
          <w:bCs/>
        </w:rPr>
        <w:t xml:space="preserve">Review cadence:</w:t>
      </w:r>
      <w:r>
        <w:t xml:space="preserve"> </w:t>
      </w:r>
      <w:r>
        <w:t xml:space="preserve">Annual, and on any material change in state or federal law</w:t>
      </w:r>
    </w:p>
    <w:p>
      <w:r>
        <w:pict>
          <v:rect style="width:0;height:1.5pt" o:hralign="center" o:hrstd="t" o:hr="t"/>
        </w:pict>
      </w:r>
    </w:p>
    <w:bookmarkStart w:id="9" w:name="_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Sets how long client health records, HIPAA documentation, and administrative records are kept, where they're stored, and how they're destroyed, in line with: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HIPAA</w:t>
      </w:r>
      <w:r>
        <w:t xml:space="preserve"> </w:t>
      </w:r>
      <w:r>
        <w:t xml:space="preserve">documentation retention (45 CFR §164.316(b)(2)): at least 6 years from creation or last effective date.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Washington:</w:t>
      </w:r>
      <w:r>
        <w:t xml:space="preserve"> </w:t>
      </w:r>
      <w:r>
        <w:t xml:space="preserve">the Uniform Health Care Information Act (RCW 70.02) and the counselor record-keeping requirements for your credential (RCW 18.225 / WAC 246-809): at least</w:t>
      </w:r>
      <w:r>
        <w:t xml:space="preserve"> </w:t>
      </w:r>
      <w:r>
        <w:rPr>
          <w:b/>
          <w:bCs/>
        </w:rPr>
        <w:t xml:space="preserve">7 years</w:t>
      </w:r>
      <w:r>
        <w:t xml:space="preserve"> </w:t>
      </w:r>
      <w:r>
        <w:t xml:space="preserve">for clinical records. [Verify and cite the exact section for your credential.]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Rhode Island:</w:t>
      </w:r>
      <w:r>
        <w:t xml:space="preserve"> </w:t>
      </w:r>
      <w:r>
        <w:t xml:space="preserve">the RI Department of Health (DOH)'s published standard of at least</w:t>
      </w:r>
      <w:r>
        <w:t xml:space="preserve"> </w:t>
      </w:r>
      <w:r>
        <w:rPr>
          <w:b/>
          <w:bCs/>
        </w:rPr>
        <w:t xml:space="preserve">7 years</w:t>
      </w:r>
      <w:r>
        <w:t xml:space="preserve"> </w:t>
      </w:r>
      <w:r>
        <w:t xml:space="preserve">from the most recent patient encounter (health.ri.gov). R.I. Gen. Laws § 5-37.3 (Confidentiality of Health Care Communications) governs</w:t>
      </w:r>
      <w:r>
        <w:t xml:space="preserve"> </w:t>
      </w:r>
      <w:r>
        <w:rPr>
          <w:i/>
          <w:iCs/>
        </w:rPr>
        <w:t xml:space="preserve">disclosure</w:t>
      </w:r>
      <w:r>
        <w:t xml:space="preserve">, not retention, and the counselor licensing regulations (216-RICR-40-05-11) set no counselor-specific period, so the general DOH standard applies. [Verify.]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 requirements differ, the longest applicable period applies.</w:t>
      </w:r>
    </w:p>
    <w:bookmarkEnd w:id="9"/>
    <w:bookmarkStart w:id="10" w:name="_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All client protected health information (PHI) and practice records, electronic or physical. The practice is out-of-network with no insurance billing, so payer-contract retention requirements don't apply.</w:t>
      </w:r>
    </w:p>
    <w:p>
      <w:r>
        <w:pict>
          <v:rect style="width:0;height:1.5pt" o:hralign="center" o:hrstd="t" o:hr="t"/>
        </w:pict>
      </w:r>
    </w:p>
    <w:bookmarkEnd w:id="10"/>
    <w:bookmarkStart w:id="15" w:name="_85905fb00fd1ec3976b8824546290decc3d09b6"/>
    <w:p>
      <w:pPr>
        <w:pStyle w:val="Heading2"/>
      </w:pPr>
      <w:r>
        <w:t xml:space="preserve">Retention periods</w:t>
      </w:r>
    </w:p>
    <w:bookmarkStart w:id="11" w:name="_d0b7224fecdf2db9c16a4bdb5c040a883b9fe1f"/>
    <w:p>
      <w:pPr>
        <w:pStyle w:val="Heading3"/>
      </w:pPr>
      <w:r>
        <w:t xml:space="preserve">Clinical records</w:t>
      </w:r>
    </w:p>
    <w:p>
      <w:pPr>
        <w:pStyle w:val="FirstParagraph"/>
      </w:pPr>
      <w:r>
        <w:rPr>
          <w:b/>
          <w:bCs/>
        </w:rPr>
        <w:t xml:space="preserve">Adults:</w:t>
      </w:r>
      <w:r>
        <w:t xml:space="preserve"> </w:t>
      </w:r>
      <w:r>
        <w:t xml:space="preserve">all clinical records (intake, assessments, treatment plans, notes, signed consents, releases of information, termination summaries, secure messages, and billing tied to clinical service) for at least</w:t>
      </w:r>
      <w:r>
        <w:t xml:space="preserve"> </w:t>
      </w:r>
      <w:r>
        <w:rPr>
          <w:b/>
          <w:bCs/>
        </w:rPr>
        <w:t xml:space="preserve">7 years from the last session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Minors (under 18 at time of treatment):</w:t>
      </w:r>
      <w:r>
        <w:t xml:space="preserve"> </w:t>
      </w:r>
      <w:r>
        <w:t xml:space="preserve">the longer of</w:t>
      </w:r>
      <w:r>
        <w:t xml:space="preserve"> </w:t>
      </w:r>
      <w:r>
        <w:rPr>
          <w:b/>
          <w:bCs/>
        </w:rPr>
        <w:t xml:space="preserve">7 years after the client turns 18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[10] years after the last session</w:t>
      </w:r>
      <w:r>
        <w:t xml:space="preserve">. [Verify.]</w:t>
      </w:r>
    </w:p>
    <w:bookmarkEnd w:id="11"/>
    <w:bookmarkStart w:id="12" w:name="_c2a334fe5d91b2531b16f8e9402fe76f4b93bd3"/>
    <w:p>
      <w:pPr>
        <w:pStyle w:val="Heading3"/>
      </w:pPr>
      <w:r>
        <w:t xml:space="preserve">Administrative and billing records</w:t>
      </w:r>
    </w:p>
    <w:p>
      <w:pPr>
        <w:pStyle w:val="FirstParagraph"/>
      </w:pPr>
      <w:r>
        <w:rPr>
          <w:b/>
          <w:bCs/>
        </w:rPr>
        <w:t xml:space="preserve">7 years</w:t>
      </w:r>
      <w:r>
        <w:t xml:space="preserve"> </w:t>
      </w:r>
      <w:r>
        <w:t xml:space="preserve">from date of service or transaction: invoices, superbills, payment records, late-cancel records, and billing correspondence.</w:t>
      </w:r>
    </w:p>
    <w:bookmarkEnd w:id="12"/>
    <w:bookmarkStart w:id="13" w:name="_bcde83240f1fe4dddaed24d812352e3da7eefe1"/>
    <w:p>
      <w:pPr>
        <w:pStyle w:val="Heading3"/>
      </w:pPr>
      <w:r>
        <w:t xml:space="preserve">HIPAA documentation</w:t>
      </w:r>
    </w:p>
    <w:p>
      <w:pPr>
        <w:pStyle w:val="FirstParagraph"/>
      </w:pPr>
      <w:r>
        <w:t xml:space="preserve">At least</w:t>
      </w:r>
      <w:r>
        <w:t xml:space="preserve"> </w:t>
      </w:r>
      <w:r>
        <w:rPr>
          <w:b/>
          <w:bCs/>
        </w:rPr>
        <w:t xml:space="preserve">6 years</w:t>
      </w:r>
      <w:r>
        <w:t xml:space="preserve"> </w:t>
      </w:r>
      <w:r>
        <w:t xml:space="preserve">from creation or last effective date: policies (all versions), risk analyses, notices of privacy practices and disclosure statements (all versions), business associate agreements (BAAs), the Process Log, breach assessments, and device disposal records.</w:t>
      </w:r>
    </w:p>
    <w:p>
      <w:pPr>
        <w:pStyle w:val="BodyText"/>
      </w:pPr>
      <w:r>
        <w:rPr>
          <w:b/>
          <w:bCs/>
        </w:rPr>
        <w:t xml:space="preserve">Practical rule:</w:t>
      </w:r>
      <w:r>
        <w:t xml:space="preserve"> </w:t>
      </w:r>
      <w:r>
        <w:t xml:space="preserve">keep both clinical and HIPAA records</w:t>
      </w:r>
      <w:r>
        <w:t xml:space="preserve"> </w:t>
      </w:r>
      <w:r>
        <w:rPr>
          <w:b/>
          <w:bCs/>
        </w:rPr>
        <w:t xml:space="preserve">at least 7 years</w:t>
      </w:r>
      <w:r>
        <w:t xml:space="preserve"> </w:t>
      </w:r>
      <w:r>
        <w:t xml:space="preserve">as a single standard, extended for minors.</w:t>
      </w:r>
    </w:p>
    <w:bookmarkEnd w:id="13"/>
    <w:bookmarkStart w:id="14" w:name="_c2ea1e993224cb3c65b9f1cef312751804151cb"/>
    <w:p>
      <w:pPr>
        <w:pStyle w:val="Heading3"/>
      </w:pPr>
      <w:r>
        <w:t xml:space="preserve">Tax and business records</w:t>
      </w:r>
    </w:p>
    <w:p>
      <w:pPr>
        <w:pStyle w:val="FirstParagraph"/>
      </w:pPr>
      <w:r>
        <w:t xml:space="preserve">Business formation documents, the employer identification number (EIN) letter, and the operating agreement: life of the business. Tax records:</w:t>
      </w:r>
      <w:r>
        <w:t xml:space="preserve"> </w:t>
      </w:r>
      <w:r>
        <w:rPr>
          <w:b/>
          <w:bCs/>
        </w:rPr>
        <w:t xml:space="preserve">7 years</w:t>
      </w:r>
      <w:r>
        <w:t xml:space="preserve"> </w:t>
      </w:r>
      <w:r>
        <w:t xml:space="preserve">from filing. These contain no PHI and are kept separately.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9" w:name="_storage"/>
    <w:p>
      <w:pPr>
        <w:pStyle w:val="Heading2"/>
      </w:pPr>
      <w:r>
        <w:t xml:space="preserve">Storage</w:t>
      </w:r>
    </w:p>
    <w:bookmarkStart w:id="16" w:name="_electronic"/>
    <w:p>
      <w:pPr>
        <w:pStyle w:val="Heading3"/>
      </w:pPr>
      <w:r>
        <w:t xml:space="preserve">Electronic</w:t>
      </w:r>
    </w:p>
    <w:p>
      <w:pPr>
        <w:pStyle w:val="Compact"/>
        <w:numPr>
          <w:ilvl w:val="0"/>
          <w:numId w:val="1002"/>
        </w:numPr>
      </w:pPr>
      <w:r>
        <w:t xml:space="preserve">Clinical electronic PHI (ePHI) lives in</w:t>
      </w:r>
      <w:r>
        <w:t xml:space="preserve"> </w:t>
      </w:r>
      <w:r>
        <w:rPr>
          <w:b/>
          <w:bCs/>
        </w:rPr>
        <w:t xml:space="preserve">[electronic health record (EHR) system]</w:t>
      </w:r>
      <w:r>
        <w:t xml:space="preserve">, a Business Associate under BAA.</w:t>
      </w:r>
    </w:p>
    <w:p>
      <w:pPr>
        <w:pStyle w:val="Compact"/>
        <w:numPr>
          <w:ilvl w:val="0"/>
          <w:numId w:val="1002"/>
        </w:numPr>
      </w:pPr>
      <w:r>
        <w:t xml:space="preserve">Administrative records that may reference clients live in</w:t>
      </w:r>
      <w:r>
        <w:t xml:space="preserve"> </w:t>
      </w:r>
      <w:r>
        <w:rPr>
          <w:b/>
          <w:bCs/>
        </w:rPr>
        <w:t xml:space="preserve">[BAA-covered email/drive]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PHI on local devices or in non-BAA cloud storage.</w:t>
      </w:r>
    </w:p>
    <w:p>
      <w:pPr>
        <w:pStyle w:val="Compact"/>
        <w:numPr>
          <w:ilvl w:val="0"/>
          <w:numId w:val="1002"/>
        </w:numPr>
      </w:pPr>
      <w:r>
        <w:t xml:space="preserve">Devices that access ePHI: passcode/biometric, auto-lock ≤ 5 minutes, disk encryption, and multi-factor authentication (MFA) on cloud services.</w:t>
      </w:r>
    </w:p>
    <w:bookmarkEnd w:id="16"/>
    <w:bookmarkStart w:id="17" w:name="_paper"/>
    <w:p>
      <w:pPr>
        <w:pStyle w:val="Heading3"/>
      </w:pPr>
      <w:r>
        <w:t xml:space="preserve">Paper</w:t>
      </w:r>
    </w:p>
    <w:p>
      <w:pPr>
        <w:pStyle w:val="FirstParagraph"/>
      </w:pPr>
      <w:r>
        <w:t xml:space="preserve">[The practice is fully paperless.] If paper PHI is ever created (handwritten notes, faxed records):</w:t>
      </w:r>
    </w:p>
    <w:p>
      <w:pPr>
        <w:pStyle w:val="Compact"/>
        <w:numPr>
          <w:ilvl w:val="0"/>
          <w:numId w:val="1003"/>
        </w:numPr>
      </w:pPr>
      <w:r>
        <w:t xml:space="preserve">Transcribe into the EHR promptly.</w:t>
      </w:r>
    </w:p>
    <w:p>
      <w:pPr>
        <w:pStyle w:val="Compact"/>
        <w:numPr>
          <w:ilvl w:val="0"/>
          <w:numId w:val="1003"/>
        </w:numPr>
      </w:pPr>
      <w:r>
        <w:t xml:space="preserve">Keep the original in a locked cabinet until destroyed.</w:t>
      </w:r>
    </w:p>
    <w:p>
      <w:pPr>
        <w:pStyle w:val="Compact"/>
        <w:numPr>
          <w:ilvl w:val="0"/>
          <w:numId w:val="1003"/>
        </w:numPr>
      </w:pPr>
      <w:r>
        <w:t xml:space="preserve">Cross-cut shred once transcription is verified.</w:t>
      </w:r>
    </w:p>
    <w:p>
      <w:pPr>
        <w:pStyle w:val="Compact"/>
        <w:numPr>
          <w:ilvl w:val="0"/>
          <w:numId w:val="1003"/>
        </w:numPr>
      </w:pPr>
      <w:r>
        <w:t xml:space="preserve">Log creation and destruction in the Process Log.</w:t>
      </w:r>
    </w:p>
    <w:bookmarkEnd w:id="17"/>
    <w:bookmarkStart w:id="18" w:name="_backups"/>
    <w:p>
      <w:pPr>
        <w:pStyle w:val="Heading3"/>
      </w:pPr>
      <w:r>
        <w:t xml:space="preserve">Backups</w:t>
      </w:r>
    </w:p>
    <w:p>
      <w:pPr>
        <w:pStyle w:val="Compact"/>
        <w:numPr>
          <w:ilvl w:val="0"/>
          <w:numId w:val="1004"/>
        </w:numPr>
      </w:pPr>
      <w:r>
        <w:t xml:space="preserve">Clinical records are backed up by the EHR vendor under its BAA and service agreement.</w:t>
      </w:r>
    </w:p>
    <w:p>
      <w:pPr>
        <w:pStyle w:val="Compact"/>
        <w:numPr>
          <w:ilvl w:val="0"/>
          <w:numId w:val="1004"/>
        </w:numPr>
      </w:pPr>
      <w:r>
        <w:t xml:space="preserve">Administrative records are backed up by the email/drive provider.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 independent local backups of PHI,</w:t>
      </w:r>
      <w:r>
        <w:t xml:space="preserve"> </w:t>
      </w:r>
      <w:r>
        <w:t xml:space="preserve">deliberately: a local backup is one more place PHI lives that needs safeguards, and vendor redundancy is sufficient for a solo practice.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3" w:name="_destruction"/>
    <w:p>
      <w:pPr>
        <w:pStyle w:val="Heading2"/>
      </w:pPr>
      <w:r>
        <w:t xml:space="preserve">Destruction</w:t>
      </w:r>
    </w:p>
    <w:bookmarkStart w:id="20" w:name="_5854f9775b13c42359418a13edc8a26006fc33c"/>
    <w:p>
      <w:pPr>
        <w:pStyle w:val="Heading3"/>
      </w:pPr>
      <w:r>
        <w:t xml:space="preserve">Electronic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EHR:</w:t>
      </w:r>
      <w:r>
        <w:t xml:space="preserve"> </w:t>
      </w:r>
      <w:r>
        <w:t xml:space="preserve">delete expired records using the EHR's record-deletion workflow. Destruction mechanics are governed by the vendor's BAA.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Email/drive:</w:t>
      </w:r>
      <w:r>
        <w:t xml:space="preserve"> </w:t>
      </w:r>
      <w:r>
        <w:t xml:space="preserve">delete, then empty trash.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Local devices:</w:t>
      </w:r>
      <w:r>
        <w:t xml:space="preserve"> </w:t>
      </w:r>
      <w:r>
        <w:t xml:space="preserve">delete any downloaded PHI document and empty the trash. Consider automatic trash emptying (on Mac: System Settings → General → Storage → "Remove items from the Trash after 30 days").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Device disposal:</w:t>
      </w:r>
      <w:r>
        <w:t xml:space="preserve"> </w:t>
      </w:r>
      <w:r>
        <w:t xml:space="preserve">factory erase before selling, recycling, or giving away (on Apple devices, "Erase All Content and Settings," which destroys the encryption key). Log date, device, serial number, and method.</w:t>
      </w:r>
    </w:p>
    <w:bookmarkEnd w:id="20"/>
    <w:bookmarkStart w:id="21" w:name="_10961435d45eb06199e2210cdec1efb9a3d8623"/>
    <w:p>
      <w:pPr>
        <w:pStyle w:val="Heading3"/>
      </w:pPr>
      <w:r>
        <w:t xml:space="preserve">Paper</w:t>
      </w:r>
    </w:p>
    <w:p>
      <w:pPr>
        <w:pStyle w:val="FirstParagraph"/>
      </w:pPr>
      <w:r>
        <w:t xml:space="preserve">Cross-cut shred (P-3 or higher), or use a certified destruction service that issues a certificate. Log it.</w:t>
      </w:r>
    </w:p>
    <w:bookmarkEnd w:id="21"/>
    <w:bookmarkStart w:id="22" w:name="_100b75efd84cdaa371f1b934c56727f9960c15b"/>
    <w:p>
      <w:pPr>
        <w:pStyle w:val="Heading3"/>
      </w:pPr>
      <w:r>
        <w:t xml:space="preserve">Destruction log</w:t>
      </w:r>
    </w:p>
    <w:p>
      <w:pPr>
        <w:pStyle w:val="FirstParagraph"/>
      </w:pPr>
      <w:r>
        <w:t xml:space="preserve">Kept in the Process Log: date, record type and date range, approximate count, method, and verification ("trash emptied," "certificate received"). Retained with the rest of the HIPAA documentation.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_notification"/>
    <w:p>
      <w:pPr>
        <w:pStyle w:val="Heading2"/>
      </w:pPr>
      <w:r>
        <w:t xml:space="preserve">Notification</w:t>
      </w:r>
    </w:p>
    <w:p>
      <w:pPr>
        <w:pStyle w:val="FirstParagraph"/>
      </w:pPr>
      <w:r>
        <w:t xml:space="preserve">Clients are not notified of routine destruction at end of retention. Destruction outside normal timelines (breach, device loss, disaster) follows the breach procedure.</w:t>
      </w:r>
    </w:p>
    <w:bookmarkEnd w:id="24"/>
    <w:bookmarkStart w:id="25" w:name="_exceptions"/>
    <w:p>
      <w:pPr>
        <w:pStyle w:val="Heading2"/>
      </w:pPr>
      <w:r>
        <w:t xml:space="preserve">Exceptions</w:t>
      </w:r>
    </w:p>
    <w:p>
      <w:pPr>
        <w:pStyle w:val="FirstParagraph"/>
      </w:pPr>
      <w:r>
        <w:t xml:space="preserve">Records are kept past the retention period when:</w:t>
      </w:r>
    </w:p>
    <w:p>
      <w:pPr>
        <w:pStyle w:val="Compact"/>
        <w:numPr>
          <w:ilvl w:val="0"/>
          <w:numId w:val="1006"/>
        </w:numPr>
      </w:pPr>
      <w:r>
        <w:t xml:space="preserve">subject to a legal matter, subpoena, audit, or licensing complaint (legal hold);</w:t>
      </w:r>
    </w:p>
    <w:p>
      <w:pPr>
        <w:pStyle w:val="Compact"/>
        <w:numPr>
          <w:ilvl w:val="0"/>
          <w:numId w:val="1006"/>
        </w:numPr>
      </w:pPr>
      <w:r>
        <w:t xml:space="preserve">a client has an open request for access or amendment;</w:t>
      </w:r>
    </w:p>
    <w:p>
      <w:pPr>
        <w:pStyle w:val="Compact"/>
        <w:numPr>
          <w:ilvl w:val="0"/>
          <w:numId w:val="1006"/>
        </w:numPr>
      </w:pPr>
      <w:r>
        <w:t xml:space="preserve">the practice is on notice of a potential claim;</w:t>
      </w:r>
    </w:p>
    <w:p>
      <w:pPr>
        <w:pStyle w:val="Compact"/>
        <w:numPr>
          <w:ilvl w:val="0"/>
          <w:numId w:val="1006"/>
        </w:numPr>
      </w:pPr>
      <w:r>
        <w:t xml:space="preserve">a client has asked in writing for longer retention.</w:t>
      </w:r>
    </w:p>
    <w:p>
      <w:pPr>
        <w:pStyle w:val="FirstParagraph"/>
      </w:pPr>
      <w:r>
        <w:t xml:space="preserve">Otherwise, records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kept past the minimum without a documented reason.</w:t>
      </w:r>
    </w:p>
    <w:bookmarkEnd w:id="25"/>
    <w:bookmarkStart w:id="26" w:name="_responsibilities"/>
    <w:p>
      <w:pPr>
        <w:pStyle w:val="Heading2"/>
      </w:pPr>
      <w:r>
        <w:t xml:space="preserve">Responsibilities</w:t>
      </w:r>
    </w:p>
    <w:p>
      <w:pPr>
        <w:pStyle w:val="FirstParagraph"/>
      </w:pPr>
      <w:r>
        <w:t xml:space="preserve">The Privacy and Security Officer reviews records reaching end of retention annually, destroys them per this policy, logs destruction, and reviews this policy annually.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shared in the Private Practice Toolkit. Not legal, tax, clinical, or compliance advice. Confirm current retention rules in your state for your credential.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retention and destruction policy</dc:title>
  <dc:creator/>
  <cp:keywords/>
  <dcterms:created xsi:type="dcterms:W3CDTF">2026-10-11T11:52:08Z</dcterms:created>
  <dcterms:modified xsi:type="dcterms:W3CDTF">2026-10-11T11:52:08Z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