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Johnny.Decimal filing</w:t>
      </w:r>
    </w:p>
    <w:bookmarkStart w:id="23" w:name="_e759d18cfc98934e0baeb87c383614cd9a9ca52"/>
    <w:p>
      <w:pPr>
        <w:pStyle w:val="Heading1"/>
      </w:pPr>
      <w:r>
        <w:t xml:space="preserve">Johnny.Decimal filing</w:t>
      </w:r>
    </w:p>
    <w:p>
      <w:pPr>
        <w:pStyle w:val="BlockText"/>
      </w:pPr>
      <w:r>
        <w:rPr>
          <w:b/>
          <w:bCs/>
        </w:rPr>
        <w:t xml:space="preserve">Give every kind of document in your practice a short number,</w:t>
      </w:r>
      <w:r>
        <w:t xml:space="preserve"> </w:t>
      </w:r>
      <w:r>
        <w:t xml:space="preserve">like</w:t>
      </w:r>
      <w:r>
        <w:t xml:space="preserve"> </w:t>
      </w:r>
      <w:r>
        <w:rPr>
          <w:rStyle w:val="VerbatimChar"/>
        </w:rPr>
        <w:t xml:space="preserve">21.01 Bank statements</w:t>
      </w:r>
      <w:r>
        <w:t xml:space="preserve">, and use that same number everywhere: your file folders, your email labels, and your notes.</w:t>
      </w:r>
    </w:p>
    <w:p>
      <w:pPr>
        <w:pStyle w:val="FirstParagraph"/>
      </w:pPr>
      <w:r>
        <w:t xml:space="preserve">Johnny.Decimal is a free, well-documented filing system created by Johnny Noble. This page covers how it works and how I lay it out for my solo practice. The full method is at the source: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  <w:b/>
            <w:bCs/>
          </w:rPr>
          <w:t xml:space="preserve">johnnydecimal.com</w:t>
        </w:r>
      </w:hyperlink>
      <w:r>
        <w:t xml:space="preserve">: start with the</w:t>
      </w:r>
      <w:r>
        <w:t xml:space="preserve"> </w:t>
      </w:r>
      <w:hyperlink r:id="rId10">
        <w:r>
          <w:rPr>
            <w:rStyle w:val="Hyperlink"/>
            <w:b/>
            <w:bCs/>
          </w:rPr>
          <w:t xml:space="preserve">Introduction</w:t>
        </w:r>
      </w:hyperlink>
      <w:r>
        <w:t xml:space="preserve">, then</w:t>
      </w:r>
      <w:r>
        <w:t xml:space="preserve"> </w:t>
      </w:r>
      <w:hyperlink r:id="rId11">
        <w:r>
          <w:rPr>
            <w:rStyle w:val="Hyperlink"/>
            <w:b/>
            <w:bCs/>
          </w:rPr>
          <w:t xml:space="preserve">Areas and categories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  <w:b/>
            <w:bCs/>
          </w:rPr>
          <w:t xml:space="preserve">IDs</w:t>
        </w:r>
      </w:hyperlink>
      <w:r>
        <w:t xml:space="preserve">,</w:t>
      </w:r>
      <w:r>
        <w:t xml:space="preserve"> </w:t>
      </w:r>
      <w:hyperlink r:id="rId13">
        <w:r>
          <w:rPr>
            <w:rStyle w:val="Hyperlink"/>
            <w:b/>
            <w:bCs/>
          </w:rPr>
          <w:t xml:space="preserve">The JDex</w:t>
        </w:r>
      </w:hyperlink>
      <w:r>
        <w:t xml:space="preserve">, and</w:t>
      </w:r>
      <w:r>
        <w:t xml:space="preserve"> </w:t>
      </w:r>
      <w:hyperlink r:id="rId14">
        <w:r>
          <w:rPr>
            <w:rStyle w:val="Hyperlink"/>
            <w:b/>
            <w:bCs/>
          </w:rPr>
          <w:t xml:space="preserve">Saving files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  <w:b/>
            <w:bCs/>
          </w:rPr>
          <w:t xml:space="preserve">Forum</w:t>
        </w:r>
      </w:hyperlink>
      <w:r>
        <w:t xml:space="preserve">, where people share their systems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  <w:b/>
            <w:bCs/>
          </w:rPr>
          <w:t xml:space="preserve">Products</w:t>
        </w:r>
      </w:hyperlink>
      <w:r>
        <w:t xml:space="preserve">, paid ready-made systems (including one for small-business admin) and courses; the free documentation is enough to build your own</w:t>
      </w:r>
    </w:p>
    <w:p>
      <w:r>
        <w:pict>
          <v:rect style="width:0;height:1.5pt" o:hralign="center" o:hrstd="t" o:hr="t"/>
        </w:pict>
      </w:r>
    </w:p>
    <w:bookmarkStart w:id="17" w:name="_3982030c658dbaf13aeba8bd7a29a561160fdd0"/>
    <w:p>
      <w:pPr>
        <w:pStyle w:val="Heading2"/>
      </w:pPr>
      <w:r>
        <w:t xml:space="preserve">How it works</w:t>
      </w:r>
    </w:p>
    <w:p>
      <w:pPr>
        <w:pStyle w:val="FirstParagraph"/>
      </w:pPr>
      <w:r>
        <w:t xml:space="preserve">Three levels, never more than ten choices at any of them.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Level</w:t>
            </w:r>
          </w:p>
        </w:tc>
        <w:tc>
          <w:tcPr/>
          <w:p>
            <w:pPr>
              <w:pStyle w:val="Compact"/>
            </w:pPr>
            <w:r>
              <w:t xml:space="preserve">Looks like</w:t>
            </w:r>
          </w:p>
        </w:tc>
        <w:tc>
          <w:tcPr/>
          <w:p>
            <w:pPr>
              <w:pStyle w:val="Compact"/>
            </w:pPr>
            <w:r>
              <w:t xml:space="preserve">What it 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Area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20–29 Finances</w:t>
            </w:r>
          </w:p>
        </w:tc>
        <w:tc>
          <w:tcPr/>
          <w:p>
            <w:pPr>
              <w:pStyle w:val="Compact"/>
            </w:pPr>
            <w:r>
              <w:t xml:space="preserve">A broad part of your life or business. At most ten, numbered in tens.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Category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 Banking &amp; bookkeeping</w:t>
            </w:r>
          </w:p>
        </w:tc>
        <w:tc>
          <w:tcPr/>
          <w:p>
            <w:pPr>
              <w:pStyle w:val="Compact"/>
            </w:pPr>
            <w:r>
              <w:t xml:space="preserve">A drawer inside an area. At most ten per area (21 through 29).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21.01 Bank statements</w:t>
            </w:r>
          </w:p>
        </w:tc>
        <w:tc>
          <w:tcPr/>
          <w:p>
            <w:pPr>
              <w:pStyle w:val="Compact"/>
            </w:pPr>
            <w:r>
              <w:t xml:space="preserve">A folder that holds files: the category number, a decimal point, then 01, 02, 03…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The rules: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Nothing goes deeper than an ID.</w:t>
      </w:r>
      <w:r>
        <w:t xml:space="preserve"> </w:t>
      </w:r>
      <w:r>
        <w:t xml:space="preserve">No subfolders; a crowded ID is usually two IDs.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No more than ten</w:t>
      </w:r>
      <w:r>
        <w:t xml:space="preserve"> </w:t>
      </w:r>
      <w:r>
        <w:t xml:space="preserve">at any level, so you can find anything in three steps.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Numbers don't move.</w:t>
      </w:r>
      <w:r>
        <w:t xml:space="preserve"> </w:t>
      </w:r>
      <w:r>
        <w:t xml:space="preserve">Numbered folders sort the same everywhere, and "it's in 21.01" is quicker than a path.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Same number everywhere:</w:t>
      </w:r>
      <w:r>
        <w:t xml:space="preserve"> </w:t>
      </w:r>
      <w:r>
        <w:t xml:space="preserve">the folder on your drive, the label in your email, and the heading in your notes.</w:t>
      </w:r>
    </w:p>
    <w:bookmarkEnd w:id="17"/>
    <w:bookmarkStart w:id="18" w:name="_b8f65747f1e2673b241d8abcfce345f13e1feec"/>
    <w:p>
      <w:pPr>
        <w:pStyle w:val="Heading2"/>
      </w:pPr>
      <w:r>
        <w:t xml:space="preserve">The JDex: your index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JDex</w:t>
      </w:r>
      <w:r>
        <w:t xml:space="preserve"> </w:t>
      </w:r>
      <w:r>
        <w:t xml:space="preserve">is a list of every ID, usually in a notes app: one entry per ID with its number, name, and where its stuff lives (folder, email label, app). In the creator's words,</w:t>
      </w:r>
      <w:r>
        <w:t xml:space="preserve"> </w:t>
      </w:r>
      <w:r>
        <w:rPr>
          <w:i/>
          <w:iCs/>
        </w:rPr>
        <w:t xml:space="preserve">"The index is your Johnny.Decimal system."</w:t>
      </w:r>
      <w:r>
        <w:t xml:space="preserve"> </w:t>
      </w:r>
      <w:r>
        <w:t xml:space="preserve">It's where you decide where something goes before you file it, and what stops you creating</w:t>
      </w:r>
      <w:r>
        <w:t xml:space="preserve"> </w:t>
      </w:r>
      <w:r>
        <w:rPr>
          <w:rStyle w:val="VerbatimChar"/>
        </w:rPr>
        <w:t xml:space="preserve">21.07 Bank stuff</w:t>
      </w:r>
      <w:r>
        <w:t xml:space="preserve"> </w:t>
      </w:r>
      <w:r>
        <w:t xml:space="preserve">next to</w:t>
      </w:r>
      <w:r>
        <w:t xml:space="preserve"> </w:t>
      </w:r>
      <w:r>
        <w:rPr>
          <w:rStyle w:val="VerbatimChar"/>
        </w:rPr>
        <w:t xml:space="preserve">21.01 Bank statements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8"/>
    <w:bookmarkStart w:id="19" w:name="_d0d80f2d76f99d7ede127cc2b2ecfb9429e8cc4"/>
    <w:p>
      <w:pPr>
        <w:pStyle w:val="Heading2"/>
      </w:pPr>
      <w:r>
        <w:t xml:space="preserve">A sample layout for a solo practice</w:t>
      </w:r>
    </w:p>
    <w:p>
      <w:pPr>
        <w:pStyle w:val="FirstParagraph"/>
      </w:pPr>
      <w:r>
        <w:t xml:space="preserve">An illustration only; build yours from the documents you actually have.</w:t>
      </w:r>
    </w:p>
    <w:p>
      <w:pPr>
        <w:pStyle w:val="SourceCode"/>
      </w:pPr>
      <w:r>
        <w:rPr>
          <w:rStyle w:val="VerbatimChar"/>
        </w:rPr>
        <w:t xml:space="preserve">10–19  Practice administration</w:t>
      </w:r>
      <w:r>
        <w:br/>
      </w:r>
      <w:r>
        <w:rPr>
          <w:rStyle w:val="VerbatimChar"/>
        </w:rPr>
        <w:t xml:space="preserve">       11  Licenses &amp; credentials</w:t>
      </w:r>
      <w:r>
        <w:br/>
      </w:r>
      <w:r>
        <w:rPr>
          <w:rStyle w:val="VerbatimChar"/>
        </w:rPr>
        <w:t xml:space="preserve">           11.01  State license ([State])</w:t>
      </w:r>
      <w:r>
        <w:br/>
      </w:r>
      <w:r>
        <w:rPr>
          <w:rStyle w:val="VerbatimChar"/>
        </w:rPr>
        <w:t xml:space="preserve">           11.02  NPI, CAQH &amp; registrations</w:t>
      </w:r>
      <w:r>
        <w:br/>
      </w:r>
      <w:r>
        <w:rPr>
          <w:rStyle w:val="VerbatimChar"/>
        </w:rPr>
        <w:t xml:space="preserve">           11.03  Malpractice insurance</w:t>
      </w:r>
      <w:r>
        <w:br/>
      </w:r>
      <w:r>
        <w:rPr>
          <w:rStyle w:val="VerbatimChar"/>
        </w:rPr>
        <w:t xml:space="preserve">           11.04  CE certificates</w:t>
      </w:r>
      <w:r>
        <w:br/>
      </w:r>
      <w:r>
        <w:rPr>
          <w:rStyle w:val="VerbatimChar"/>
        </w:rPr>
        <w:t xml:space="preserve">       12  HIPAA &amp; compliance</w:t>
      </w:r>
      <w:r>
        <w:br/>
      </w:r>
      <w:r>
        <w:rPr>
          <w:rStyle w:val="VerbatimChar"/>
        </w:rPr>
        <w:t xml:space="preserve">           12.01  Policies &amp; procedures</w:t>
      </w:r>
      <w:r>
        <w:br/>
      </w:r>
      <w:r>
        <w:rPr>
          <w:rStyle w:val="VerbatimChar"/>
        </w:rPr>
        <w:t xml:space="preserve">           12.02  Security risk analysis</w:t>
      </w:r>
      <w:r>
        <w:br/>
      </w:r>
      <w:r>
        <w:rPr>
          <w:rStyle w:val="VerbatimChar"/>
        </w:rPr>
        <w:t xml:space="preserve">           12.03  Vendor BAAs</w:t>
      </w:r>
      <w:r>
        <w:br/>
      </w:r>
      <w:r>
        <w:rPr>
          <w:rStyle w:val="VerbatimChar"/>
        </w:rPr>
        <w:t xml:space="preserve">           12.04  HIPAA process log</w:t>
      </w:r>
      <w:r>
        <w:br/>
      </w:r>
      <w:r>
        <w:rPr>
          <w:rStyle w:val="VerbatimChar"/>
        </w:rPr>
        <w:t xml:space="preserve">       13  Software &amp; vendors</w:t>
      </w:r>
      <w:r>
        <w:br/>
      </w:r>
      <w:r>
        <w:rPr>
          <w:rStyle w:val="VerbatimChar"/>
        </w:rPr>
        <w:t xml:space="preserve">           13.01  EHR account &amp; settings</w:t>
      </w:r>
      <w:r>
        <w:br/>
      </w:r>
      <w:r>
        <w:rPr>
          <w:rStyle w:val="VerbatimChar"/>
        </w:rPr>
        <w:t xml:space="preserve">           13.02  Email &amp; cloud (Workspace / Microsoft 365)</w:t>
      </w:r>
      <w:r>
        <w:br/>
      </w:r>
      <w:r>
        <w:br/>
      </w:r>
      <w:r>
        <w:rPr>
          <w:rStyle w:val="VerbatimChar"/>
        </w:rPr>
        <w:t xml:space="preserve">20–29  Finances</w:t>
      </w:r>
      <w:r>
        <w:br/>
      </w:r>
      <w:r>
        <w:rPr>
          <w:rStyle w:val="VerbatimChar"/>
        </w:rPr>
        <w:t xml:space="preserve">       21  Banking &amp; bookkeeping</w:t>
      </w:r>
      <w:r>
        <w:br/>
      </w:r>
      <w:r>
        <w:rPr>
          <w:rStyle w:val="VerbatimChar"/>
        </w:rPr>
        <w:t xml:space="preserve">           21.01  Bank statements</w:t>
      </w:r>
      <w:r>
        <w:br/>
      </w:r>
      <w:r>
        <w:rPr>
          <w:rStyle w:val="VerbatimChar"/>
        </w:rPr>
        <w:t xml:space="preserve">           21.02  Monthly close</w:t>
      </w:r>
      <w:r>
        <w:br/>
      </w:r>
      <w:r>
        <w:rPr>
          <w:rStyle w:val="VerbatimChar"/>
        </w:rPr>
        <w:t xml:space="preserve">           21.03  Card processor reports</w:t>
      </w:r>
      <w:r>
        <w:br/>
      </w:r>
      <w:r>
        <w:rPr>
          <w:rStyle w:val="VerbatimChar"/>
        </w:rPr>
        <w:t xml:space="preserve">       22  Taxes</w:t>
      </w:r>
      <w:r>
        <w:br/>
      </w:r>
      <w:r>
        <w:rPr>
          <w:rStyle w:val="VerbatimChar"/>
        </w:rPr>
        <w:t xml:space="preserve">           22.01  Quarterly estimates</w:t>
      </w:r>
      <w:r>
        <w:br/>
      </w:r>
      <w:r>
        <w:rPr>
          <w:rStyle w:val="VerbatimChar"/>
        </w:rPr>
        <w:t xml:space="preserve">           22.02  Annual return &amp; CPA correspondence</w:t>
      </w:r>
      <w:r>
        <w:br/>
      </w:r>
      <w:r>
        <w:rPr>
          <w:rStyle w:val="VerbatimChar"/>
        </w:rPr>
        <w:t xml:space="preserve">       23  Expenses &amp; receipts</w:t>
      </w:r>
      <w:r>
        <w:br/>
      </w:r>
      <w:r>
        <w:rPr>
          <w:rStyle w:val="VerbatimChar"/>
        </w:rPr>
        <w:t xml:space="preserve">           23.01  Receipts</w:t>
      </w:r>
      <w:r>
        <w:br/>
      </w:r>
      <w:r>
        <w:rPr>
          <w:rStyle w:val="VerbatimChar"/>
        </w:rPr>
        <w:t xml:space="preserve">           23.02  Mileage log</w:t>
      </w:r>
      <w:r>
        <w:br/>
      </w:r>
      <w:r>
        <w:br/>
      </w:r>
      <w:r>
        <w:rPr>
          <w:rStyle w:val="VerbatimChar"/>
        </w:rPr>
        <w:t xml:space="preserve">30–39  Marketing &amp; referrals</w:t>
      </w:r>
      <w:r>
        <w:br/>
      </w:r>
      <w:r>
        <w:rPr>
          <w:rStyle w:val="VerbatimChar"/>
        </w:rPr>
        <w:t xml:space="preserve">       31  Directories</w:t>
      </w:r>
      <w:r>
        <w:br/>
      </w:r>
      <w:r>
        <w:rPr>
          <w:rStyle w:val="VerbatimChar"/>
        </w:rPr>
        <w:t xml:space="preserve">           31.01  Psychology Today</w:t>
      </w:r>
      <w:r>
        <w:br/>
      </w:r>
      <w:r>
        <w:rPr>
          <w:rStyle w:val="VerbatimChar"/>
        </w:rPr>
        <w:t xml:space="preserve">           31.02  [Second directory]</w:t>
      </w:r>
      <w:r>
        <w:br/>
      </w:r>
      <w:r>
        <w:rPr>
          <w:rStyle w:val="VerbatimChar"/>
        </w:rPr>
        <w:t xml:space="preserve">       32  Referral partners</w:t>
      </w:r>
      <w:r>
        <w:br/>
      </w:r>
      <w:r>
        <w:rPr>
          <w:rStyle w:val="VerbatimChar"/>
        </w:rPr>
        <w:t xml:space="preserve">           32.01  Referral tracker</w:t>
      </w:r>
      <w:r>
        <w:br/>
      </w:r>
      <w:r>
        <w:rPr>
          <w:rStyle w:val="VerbatimChar"/>
        </w:rPr>
        <w:t xml:space="preserve">           32.02  Letters &amp; one-pagers</w:t>
      </w:r>
      <w:r>
        <w:br/>
      </w:r>
      <w:r>
        <w:rPr>
          <w:rStyle w:val="VerbatimChar"/>
        </w:rPr>
        <w:t xml:space="preserve">       33  Website</w:t>
      </w:r>
      <w:r>
        <w:br/>
      </w:r>
      <w:r>
        <w:rPr>
          <w:rStyle w:val="VerbatimChar"/>
        </w:rPr>
        <w:t xml:space="preserve">           33.01  Site copy &amp; images</w:t>
      </w:r>
      <w:r>
        <w:br/>
      </w:r>
      <w:r>
        <w:rPr>
          <w:rStyle w:val="VerbatimChar"/>
        </w:rPr>
        <w:t xml:space="preserve">           33.02  Domain &amp; DNS records</w:t>
      </w:r>
    </w:p>
    <w:p>
      <w:pPr>
        <w:pStyle w:val="FirstParagraph"/>
      </w:pPr>
      <w:r>
        <w:rPr>
          <w:b/>
          <w:bCs/>
        </w:rPr>
        <w:t xml:space="preserve">Client records aren't here.</w:t>
      </w:r>
      <w:r>
        <w:t xml:space="preserve"> </w:t>
      </w:r>
      <w:r>
        <w:t xml:space="preserve">They live in your electronic health record (EHR) system, covered by a business associate agreement (BAA). Keeping this tree to the business side is also what makes it safe to use with a general-purpose AI assistant.</w:t>
      </w:r>
    </w:p>
    <w:p>
      <w:pPr>
        <w:pStyle w:val="BodyText"/>
      </w:pPr>
      <w:r>
        <w:rPr>
          <w:b/>
          <w:bCs/>
        </w:rPr>
        <w:t xml:space="preserve">Personal admin can share the tree,</w:t>
      </w:r>
      <w:r>
        <w:t xml:space="preserve"> </w:t>
      </w:r>
      <w:r>
        <w:t xml:space="preserve">as an area like</w:t>
      </w:r>
      <w:r>
        <w:t xml:space="preserve"> </w:t>
      </w:r>
      <w:r>
        <w:rPr>
          <w:rStyle w:val="VerbatimChar"/>
        </w:rPr>
        <w:t xml:space="preserve">40–49 Home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9"/>
    <w:bookmarkStart w:id="21" w:name="_ef30117757eafa78a2112bbc65c8572787b705a"/>
    <w:p>
      <w:pPr>
        <w:pStyle w:val="Heading2"/>
      </w:pPr>
      <w:r>
        <w:t xml:space="preserve">Why it pairs well with AI</w:t>
      </w:r>
    </w:p>
    <w:p>
      <w:pPr>
        <w:pStyle w:val="FirstParagraph"/>
      </w:pPr>
      <w:r>
        <w:t xml:space="preserve">A numbered tree is easy for an assistant to work with (see</w:t>
      </w:r>
      <w:r>
        <w:t xml:space="preserve"> </w:t>
      </w:r>
      <w:hyperlink r:id="rId20">
        <w:r>
          <w:rPr>
            <w:rStyle w:val="Hyperlink"/>
          </w:rPr>
          <w:t xml:space="preserve">using AI to run the practice</w:t>
        </w:r>
      </w:hyperlink>
      <w:r>
        <w:t xml:space="preserve">):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"File this in 23.01"</w:t>
      </w:r>
      <w:r>
        <w:t xml:space="preserve"> </w:t>
      </w:r>
      <w:r>
        <w:t xml:space="preserve">can't be misread the way "put it with the other receipts" can.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The JDex is its map,</w:t>
      </w:r>
      <w:r>
        <w:t xml:space="preserve"> </w:t>
      </w:r>
      <w:r>
        <w:t xml:space="preserve">including when to ask you instead of guessing.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Scans come out clean:</w:t>
      </w:r>
      <w:r>
        <w:t xml:space="preserve"> </w:t>
      </w:r>
      <w:r>
        <w:t xml:space="preserve">it reads each one, names it</w:t>
      </w:r>
      <w:r>
        <w:t xml:space="preserve"> </w:t>
      </w:r>
      <w:r>
        <w:rPr>
          <w:rStyle w:val="VerbatimChar"/>
        </w:rPr>
        <w:t xml:space="preserve">2026-03-14 [Vendor] - [What it is].pdf</w:t>
      </w:r>
      <w:r>
        <w:t xml:space="preserve">, and proposes an ID for you to approve.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Routines point to fixed places:</w:t>
      </w:r>
      <w:r>
        <w:t xml:space="preserve"> </w:t>
      </w:r>
      <w:r>
        <w:t xml:space="preserve">"the monthly close reads exports from 21.01 and writes its summary to 21.02."</w:t>
      </w:r>
    </w:p>
    <w:p>
      <w:r>
        <w:pict>
          <v:rect style="width:0;height:1.5pt" o:hralign="center" o:hrstd="t" o:hr="t"/>
        </w:pict>
      </w:r>
    </w:p>
    <w:bookmarkEnd w:id="21"/>
    <w:bookmarkStart w:id="22" w:name="_b2d3594c04a200a4fadb0db44e5da6c7d71ed81"/>
    <w:p>
      <w:pPr>
        <w:pStyle w:val="Heading2"/>
      </w:pPr>
      <w:r>
        <w:t xml:space="preserve">Getting started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Read the</w:t>
      </w:r>
      <w:r>
        <w:rPr>
          <w:b/>
          <w:bCs/>
        </w:rPr>
        <w:t xml:space="preserve"> </w:t>
      </w:r>
      <w:hyperlink r:id="rId10">
        <w:r>
          <w:rPr>
            <w:rStyle w:val="Hyperlink"/>
            <w:b/>
            <w:bCs/>
          </w:rPr>
          <w:t xml:space="preserve">Introduction</w:t>
        </w:r>
      </w:hyperlink>
      <w:r>
        <w:rPr>
          <w:b/>
          <w:bCs/>
        </w:rPr>
        <w:t xml:space="preserve">.</w:t>
      </w:r>
      <w:r>
        <w:t xml:space="preserve"> </w:t>
      </w:r>
      <w:r>
        <w:t xml:space="preserve">It takes 10 minutes.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List the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kinds</w:t>
      </w:r>
      <w:r>
        <w:rPr>
          <w:b/>
          <w:bCs/>
        </w:rPr>
        <w:t xml:space="preserve"> </w:t>
      </w:r>
      <w:r>
        <w:rPr>
          <w:b/>
          <w:bCs/>
        </w:rPr>
        <w:t xml:space="preserve">of things you keep,</w:t>
      </w:r>
      <w:r>
        <w:t xml:space="preserve"> </w:t>
      </w:r>
      <w:r>
        <w:t xml:space="preserve">from your downloads folder, desktop, and email. Don't sort yet.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Group them into areas and categories on paper,</w:t>
      </w:r>
      <w:r>
        <w:t xml:space="preserve"> </w:t>
      </w:r>
      <w:r>
        <w:t xml:space="preserve">three to five areas to start.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Start the JDex</w:t>
      </w:r>
      <w:r>
        <w:t xml:space="preserve">, one note per ID, before you create any folders.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Make the folders and move things in one category at a time,</w:t>
      </w:r>
      <w:r>
        <w:t xml:space="preserve"> </w:t>
      </w:r>
      <w:r>
        <w:t xml:space="preserve">starting with what you hunt for most (usually finances).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Match your email labels</w:t>
      </w:r>
      <w:r>
        <w:t xml:space="preserve"> </w:t>
      </w:r>
      <w:r>
        <w:t xml:space="preserve">to the same numbers as you go.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Expect to adjust for a month.</w:t>
      </w:r>
      <w:r>
        <w:t xml:space="preserve"> </w:t>
      </w:r>
      <w:r>
        <w:t xml:space="preserve">After that, a new document takes seconds to place.</w:t>
      </w:r>
    </w:p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https://forum.johnnydecimal.com/" TargetMode="External" /><Relationship Type="http://schemas.openxmlformats.org/officeDocument/2006/relationships/hyperlink" Id="rId9" Target="https://johnnydecimal.com" TargetMode="External" /><Relationship Type="http://schemas.openxmlformats.org/officeDocument/2006/relationships/hyperlink" Id="rId11" Target="https://johnnydecimal.com/documentation/areas-and-categories" TargetMode="External" /><Relationship Type="http://schemas.openxmlformats.org/officeDocument/2006/relationships/hyperlink" Id="rId12" Target="https://johnnydecimal.com/documentation/ids" TargetMode="External" /><Relationship Type="http://schemas.openxmlformats.org/officeDocument/2006/relationships/hyperlink" Id="rId10" Target="https://johnnydecimal.com/documentation/introduction" TargetMode="External" /><Relationship Type="http://schemas.openxmlformats.org/officeDocument/2006/relationships/hyperlink" Id="rId14" Target="https://johnnydecimal.com/documentation/saving-files" TargetMode="External" /><Relationship Type="http://schemas.openxmlformats.org/officeDocument/2006/relationships/hyperlink" Id="rId13" Target="https://johnnydecimal.com/documentation/the-jdex" TargetMode="External" /><Relationship Type="http://schemas.openxmlformats.org/officeDocument/2006/relationships/hyperlink" Id="rId16" Target="https://johnnydecimal.com/products" TargetMode="External" /><Relationship Type="http://schemas.openxmlformats.org/officeDocument/2006/relationships/hyperlink" Id="rId20" Target="https://toolkit.marcusberley.com/using-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https://forum.johnnydecimal.com/" TargetMode="External" /><Relationship Type="http://schemas.openxmlformats.org/officeDocument/2006/relationships/hyperlink" Id="rId9" Target="https://johnnydecimal.com" TargetMode="External" /><Relationship Type="http://schemas.openxmlformats.org/officeDocument/2006/relationships/hyperlink" Id="rId11" Target="https://johnnydecimal.com/documentation/areas-and-categories" TargetMode="External" /><Relationship Type="http://schemas.openxmlformats.org/officeDocument/2006/relationships/hyperlink" Id="rId12" Target="https://johnnydecimal.com/documentation/ids" TargetMode="External" /><Relationship Type="http://schemas.openxmlformats.org/officeDocument/2006/relationships/hyperlink" Id="rId10" Target="https://johnnydecimal.com/documentation/introduction" TargetMode="External" /><Relationship Type="http://schemas.openxmlformats.org/officeDocument/2006/relationships/hyperlink" Id="rId14" Target="https://johnnydecimal.com/documentation/saving-files" TargetMode="External" /><Relationship Type="http://schemas.openxmlformats.org/officeDocument/2006/relationships/hyperlink" Id="rId13" Target="https://johnnydecimal.com/documentation/the-jdex" TargetMode="External" /><Relationship Type="http://schemas.openxmlformats.org/officeDocument/2006/relationships/hyperlink" Id="rId16" Target="https://johnnydecimal.com/products" TargetMode="External" /><Relationship Type="http://schemas.openxmlformats.org/officeDocument/2006/relationships/hyperlink" Id="rId20" Target="https://toolkit.marcusberley.com/using-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Johnny.Decimal filing</dc:title>
  <dc:creator/>
  <cp:keywords/>
  <dcterms:created xsi:type="dcterms:W3CDTF">2026-10-11T11:52:08Z</dcterms:created>
  <dcterms:modified xsi:type="dcterms:W3CDTF">2026-10-11T11:52:08Z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