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Quarterly taxes for a solo practice</w:t>
      </w:r>
    </w:p>
    <w:bookmarkStart w:id="18" w:name="_2b9da78232aa5b2a68f1f746c0fa06afda96117"/>
    <w:p>
      <w:pPr>
        <w:pStyle w:val="Heading1"/>
      </w:pPr>
      <w:r>
        <w:t xml:space="preserve">Quarterly taxes for a solo practice</w:t>
      </w:r>
    </w:p>
    <w:p>
      <w:pPr>
        <w:pStyle w:val="BlockText"/>
      </w:pPr>
      <w:r>
        <w:rPr>
          <w:b/>
          <w:bCs/>
        </w:rPr>
        <w:t xml:space="preserve">Not legal, tax, clinical, or compliance advice.</w:t>
      </w:r>
      <w:r>
        <w:t xml:space="preserve"> </w:t>
      </w:r>
      <w:r>
        <w:t xml:space="preserve">This is the working understanding I reached in my first year of practice in Washington and Rhode Island. Use it to have a sharper conversation with a certified public accountant (CPA) rather than to replace one.</w:t>
      </w:r>
    </w:p>
    <w:p>
      <w:r>
        <w:pict>
          <v:rect style="width:0;height:1.5pt" o:hralign="center" o:hrstd="t" o:hr="t"/>
        </w:pict>
      </w:r>
    </w:p>
    <w:bookmarkStart w:id="9" w:name="_188288a309c2bb535635439e94a0db2b5ff146f"/>
    <w:p>
      <w:pPr>
        <w:pStyle w:val="Heading2"/>
      </w:pPr>
      <w:r>
        <w:t xml:space="preserve">What you owe, in layers</w:t>
      </w:r>
    </w:p>
    <w:p>
      <w:pPr>
        <w:pStyle w:val="FirstParagraph"/>
      </w:pPr>
      <w:r>
        <w:t xml:space="preserve">As a single-member limited liability company (LLC) or sole proprietor, practice profit flows onto your personal return and is taxed in layers: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Roughly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Self-employment tax</w:t>
            </w:r>
          </w:p>
        </w:tc>
        <w:tc>
          <w:tcPr/>
          <w:p>
            <w:pPr>
              <w:pStyle w:val="Compact"/>
            </w:pPr>
            <w:r>
              <w:t xml:space="preserve">~14.1% of net</w:t>
            </w:r>
          </w:p>
        </w:tc>
        <w:tc>
          <w:tcPr/>
          <w:p>
            <w:pPr>
              <w:pStyle w:val="Compact"/>
            </w:pPr>
            <w:r>
              <w:t xml:space="preserve">15.3% × 92.35% of net earnings; the Social Security part stops at the annual wage 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Federal income tax</w:t>
            </w:r>
          </w:p>
        </w:tc>
        <w:tc>
          <w:tcPr/>
          <w:p>
            <w:pPr>
              <w:pStyle w:val="Compact"/>
            </w:pPr>
            <w:r>
              <w:t xml:space="preserve">your marginal bracket</w:t>
            </w:r>
          </w:p>
        </w:tc>
        <w:tc>
          <w:tcPr/>
          <w:p>
            <w:pPr>
              <w:pStyle w:val="Compact"/>
            </w:pPr>
            <w:r>
              <w:t xml:space="preserve">The Qualified Business Income (QBI) deduction may reduce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State income tax: Washington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Washington has no personal income tax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State income tax: Rhode Island</w:t>
            </w:r>
          </w:p>
        </w:tc>
        <w:tc>
          <w:tcPr/>
          <w:p>
            <w:pPr>
              <w:pStyle w:val="Compact"/>
            </w:pPr>
            <w:r>
              <w:t xml:space="preserve">~3.75%–5.99%</w:t>
            </w:r>
          </w:p>
        </w:tc>
        <w:tc>
          <w:tcPr/>
          <w:p>
            <w:pPr>
              <w:pStyle w:val="Compact"/>
            </w:pPr>
            <w:r>
              <w:t xml:space="preserve">Graduated brackets; your rate depends on total household income</w:t>
            </w:r>
          </w:p>
        </w:tc>
      </w:tr>
    </w:tbl>
    <w:p>
      <w:pPr>
        <w:pStyle w:val="FirstParagraph"/>
      </w:pPr>
      <w:r>
        <w:t xml:space="preserve">Rough combined rate on practice profit:</w:t>
      </w:r>
      <w:r>
        <w:t xml:space="preserve"> </w:t>
      </w:r>
      <w:r>
        <w:rPr>
          <w:b/>
          <w:bCs/>
        </w:rPr>
        <w:t xml:space="preserve">about 25% to 35% in Washington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about 30% to 40% in Rhode Island</w:t>
      </w:r>
      <w:r>
        <w:t xml:space="preserve">.</w:t>
      </w:r>
    </w:p>
    <w:bookmarkEnd w:id="9"/>
    <w:bookmarkStart w:id="10" w:name="_0af8c3c80b58b369c28cc9461e85ba45ba43f7c"/>
    <w:p>
      <w:pPr>
        <w:pStyle w:val="Heading2"/>
      </w:pPr>
      <w:r>
        <w:t xml:space="preserve">Washington-specific things to ask about</w:t>
      </w:r>
    </w:p>
    <w:p>
      <w:pPr>
        <w:pStyle w:val="FirstParagraph"/>
      </w:pPr>
      <w:r>
        <w:t xml:space="preserve">No income tax, but its own business taxes and registrations. Ask your CPA or check dor.wa.gov: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Business license / registration</w:t>
      </w:r>
      <w:r>
        <w:t xml:space="preserve"> </w:t>
      </w:r>
      <w:r>
        <w:t xml:space="preserve">with the Department of Revenue (DOR), if your income is above the threshold.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Business &amp; Occupation (B&amp;O) tax</w:t>
      </w:r>
      <w:r>
        <w:t xml:space="preserve"> </w:t>
      </w:r>
      <w:r>
        <w:t xml:space="preserve">on</w:t>
      </w:r>
      <w:r>
        <w:t xml:space="preserve"> </w:t>
      </w:r>
      <w:r>
        <w:rPr>
          <w:i/>
          <w:iCs/>
        </w:rPr>
        <w:t xml:space="preserve">gross receipts</w:t>
      </w:r>
      <w:r>
        <w:t xml:space="preserve">. Many small practices owe little or nothing after the small business credit but may still need to file, at a frequency DOR assigns.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City business license:</w:t>
      </w:r>
      <w:r>
        <w:t xml:space="preserve"> </w:t>
      </w:r>
      <w:r>
        <w:t xml:space="preserve">Seattle and several other cities require their own.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Paid Family &amp; Medical Leave:</w:t>
      </w:r>
      <w:r>
        <w:t xml:space="preserve"> </w:t>
      </w:r>
      <w:r>
        <w:t xml:space="preserve">optional elective coverage for the self-employed.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 Cares Fund:</w:t>
      </w:r>
      <w:r>
        <w:t xml:space="preserve"> </w:t>
      </w:r>
      <w:r>
        <w:t xml:space="preserve">self-employed people aren't automatically covered; opting in is a separate decision.</w:t>
      </w:r>
    </w:p>
    <w:bookmarkEnd w:id="10"/>
    <w:bookmarkStart w:id="11" w:name="_fed4d37535e9aa386c41334a5d34c86293bddca"/>
    <w:p>
      <w:pPr>
        <w:pStyle w:val="Heading2"/>
      </w:pPr>
      <w:r>
        <w:t xml:space="preserve">Rhode Island-specific things to ask about</w:t>
      </w:r>
    </w:p>
    <w:p>
      <w:pPr>
        <w:pStyle w:val="FirstParagraph"/>
      </w:pPr>
      <w:r>
        <w:t xml:space="preserve">Ask your CPA or check tax.ri.gov and the Secretary of State: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RI estimated income tax payments:</w:t>
      </w:r>
      <w:r>
        <w:t xml:space="preserve"> </w:t>
      </w:r>
      <w:r>
        <w:t xml:space="preserve">quarterly, alongside the federal ones.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LLC annual report</w:t>
      </w:r>
      <w:r>
        <w:t xml:space="preserve"> </w:t>
      </w:r>
      <w:r>
        <w:t xml:space="preserve">and filing fee, due each year to the Secretary of State. Missing it can eventually cost the LLC its good standing.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Minimum business tax:</w:t>
      </w:r>
      <w:r>
        <w:t xml:space="preserve"> </w:t>
      </w:r>
      <w:r>
        <w:t xml:space="preserve">historically charged to LLCs annually; confirm whether it applies to a single-member LLC in your year.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City or town requirements:</w:t>
      </w:r>
      <w:r>
        <w:t xml:space="preserve"> </w:t>
      </w:r>
      <w:r>
        <w:t xml:space="preserve">generally lighter than Washington's, but worth one question.</w:t>
      </w:r>
    </w:p>
    <w:bookmarkEnd w:id="11"/>
    <w:bookmarkStart w:id="12" w:name="_fb061ef2f0c7189e8ee5101eaf9c8523ca083ab"/>
    <w:p>
      <w:pPr>
        <w:pStyle w:val="Heading2"/>
      </w:pPr>
      <w:r>
        <w:t xml:space="preserve">Paying federal (and RI) estimates</w:t>
      </w:r>
    </w:p>
    <w:p>
      <w:pPr>
        <w:pStyle w:val="FirstParagraph"/>
      </w:pPr>
      <w:r>
        <w:t xml:space="preserve">Four payments a year via</w:t>
      </w:r>
      <w:r>
        <w:t xml:space="preserve"> </w:t>
      </w:r>
      <w:r>
        <w:rPr>
          <w:b/>
          <w:bCs/>
        </w:rPr>
        <w:t xml:space="preserve">IRS Direct Pay</w:t>
      </w:r>
      <w:r>
        <w:t xml:space="preserve"> </w:t>
      </w:r>
      <w:r>
        <w:t xml:space="preserve">or your Internal Revenue Service (IRS) online account (choose "1040-ES estimated tax"). Rhode Island estimates follow essentially the same dates, paid through the RI Division of Taxation.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For income earned</w:t>
            </w:r>
          </w:p>
        </w:tc>
        <w:tc>
          <w:tcPr/>
          <w:p>
            <w:pPr>
              <w:pStyle w:val="Compact"/>
            </w:pPr>
            <w:r>
              <w:t xml:space="preserve">Due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Jan – Mar</w:t>
            </w:r>
          </w:p>
        </w:tc>
        <w:tc>
          <w:tcPr/>
          <w:p>
            <w:pPr>
              <w:pStyle w:val="Compact"/>
            </w:pPr>
            <w:r>
              <w:t xml:space="preserve">April 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Apr – May</w:t>
            </w:r>
          </w:p>
        </w:tc>
        <w:tc>
          <w:tcPr/>
          <w:p>
            <w:pPr>
              <w:pStyle w:val="Compact"/>
            </w:pPr>
            <w:r>
              <w:t xml:space="preserve">June 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Jun – Aug</w:t>
            </w:r>
          </w:p>
        </w:tc>
        <w:tc>
          <w:tcPr/>
          <w:p>
            <w:pPr>
              <w:pStyle w:val="Compact"/>
            </w:pPr>
            <w:r>
              <w:t xml:space="preserve">September 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Sep – Dec</w:t>
            </w:r>
          </w:p>
        </w:tc>
        <w:tc>
          <w:tcPr/>
          <w:p>
            <w:pPr>
              <w:pStyle w:val="Compact"/>
            </w:pPr>
            <w:r>
              <w:t xml:space="preserve">January 15 (next year)</w:t>
            </w:r>
          </w:p>
        </w:tc>
      </w:tr>
    </w:tbl>
    <w:p>
      <w:pPr>
        <w:pStyle w:val="FirstParagraph"/>
      </w:pPr>
      <w:r>
        <w:t xml:space="preserve">The quarters are uneven, and a date on a weekend or holiday moves to the next business day.</w:t>
      </w:r>
    </w:p>
    <w:bookmarkEnd w:id="12"/>
    <w:bookmarkStart w:id="13" w:name="_cf2d156ae04e3c1b235490f0a689f527fc755bb"/>
    <w:p>
      <w:pPr>
        <w:pStyle w:val="Heading2"/>
      </w:pPr>
      <w:r>
        <w:t xml:space="preserve">Two ways to size the payments</w:t>
      </w:r>
    </w:p>
    <w:p>
      <w:pPr>
        <w:pStyle w:val="FirstParagraph"/>
      </w:pPr>
      <w:r>
        <w:rPr>
          <w:b/>
          <w:bCs/>
        </w:rPr>
        <w:t xml:space="preserve">1. Safe harbor (simplest in year one).</w:t>
      </w:r>
      <w:r>
        <w:t xml:space="preserve"> </w:t>
      </w:r>
      <w:r>
        <w:t xml:space="preserve">Pay at least</w:t>
      </w:r>
      <w:r>
        <w:t xml:space="preserve"> </w:t>
      </w:r>
      <w:r>
        <w:rPr>
          <w:b/>
          <w:bCs/>
        </w:rPr>
        <w:t xml:space="preserve">100% of last year's total federal tax</w:t>
      </w:r>
      <w:r>
        <w:t xml:space="preserve"> </w:t>
      </w:r>
      <w:r>
        <w:t xml:space="preserve">(</w:t>
      </w:r>
      <w:r>
        <w:rPr>
          <w:b/>
          <w:bCs/>
        </w:rPr>
        <w:t xml:space="preserve">110%</w:t>
      </w:r>
      <w:r>
        <w:t xml:space="preserve"> </w:t>
      </w:r>
      <w:r>
        <w:t xml:space="preserve">if last year's adjusted gross income (AGI) was over $150,000), split across the remaining quarters. There's no underpayment penalty however this year turns out; you settle the difference in April.</w:t>
      </w:r>
    </w:p>
    <w:p>
      <w:pPr>
        <w:pStyle w:val="BodyText"/>
      </w:pPr>
      <w:r>
        <w:rPr>
          <w:b/>
          <w:bCs/>
        </w:rPr>
        <w:t xml:space="preserve">2. Current-year estimate.</w:t>
      </w:r>
      <w:r>
        <w:t xml:space="preserve"> </w:t>
      </w:r>
      <w:r>
        <w:t xml:space="preserve">Project this year's profit, apply your rate, and divide by the remaining quarters. More accurate, but easier to get wrong while income is ramping up.</w:t>
      </w:r>
    </w:p>
    <w:bookmarkEnd w:id="13"/>
    <w:bookmarkStart w:id="15" w:name="_cd1d41d47d651c48fbedd6e9f8de86dfd0df505"/>
    <w:p>
      <w:pPr>
        <w:pStyle w:val="Heading2"/>
      </w:pPr>
      <w:r>
        <w:t xml:space="preserve">Setting money aside</w:t>
      </w:r>
    </w:p>
    <w:p>
      <w:pPr>
        <w:pStyle w:val="FirstParagraph"/>
      </w:pPr>
      <w:r>
        <w:t xml:space="preserve">A common starting rule is to move a fixed share of every deposit to a separate tax savings account: about</w:t>
      </w:r>
      <w:r>
        <w:t xml:space="preserve"> </w:t>
      </w:r>
      <w:r>
        <w:rPr>
          <w:b/>
          <w:bCs/>
        </w:rPr>
        <w:t xml:space="preserve">25% to 30% in Washington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30% to 35% in Rhode Island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My first-year lesson:</w:t>
      </w:r>
      <w:r>
        <w:t xml:space="preserve"> </w:t>
      </w:r>
      <w:r>
        <w:t xml:space="preserve">a flat percentage can badly</w:t>
      </w:r>
      <w:r>
        <w:t xml:space="preserve"> </w:t>
      </w:r>
      <w:r>
        <w:rPr>
          <w:i/>
          <w:iCs/>
        </w:rPr>
        <w:t xml:space="preserve">over</w:t>
      </w:r>
      <w:r>
        <w:t xml:space="preserve">-reserve if your household has other income with withholding, such as a spouse's W-2 or a W-2 job you're winding down. That withholding may already cover most of the tax. Once a CPA has seen the whole household, a</w:t>
      </w:r>
      <w:r>
        <w:t xml:space="preserve"> </w:t>
      </w:r>
      <w:r>
        <w:rPr>
          <w:b/>
          <w:bCs/>
        </w:rPr>
        <w:t xml:space="preserve">fixed monthly transfer</w:t>
      </w:r>
      <w:r>
        <w:t xml:space="preserve"> </w:t>
      </w:r>
      <w:r>
        <w:t xml:space="preserve">(e.g. $X/month) funding a</w:t>
      </w:r>
      <w:r>
        <w:t xml:space="preserve"> </w:t>
      </w:r>
      <w:r>
        <w:rPr>
          <w:b/>
          <w:bCs/>
        </w:rPr>
        <w:t xml:space="preserve">fixed quarterly payment</w:t>
      </w:r>
      <w:r>
        <w:t xml:space="preserve"> </w:t>
      </w:r>
      <w:r>
        <w:t xml:space="preserve">often works better, with the percentage kept as a yearly sanity check.</w:t>
      </w:r>
    </w:p>
    <w:p>
      <w:pPr>
        <w:pStyle w:val="FirstParagraph"/>
      </w:pPr>
      <w:r>
        <w:t xml:space="preserve">Record the transfer in your</w:t>
      </w:r>
      <w:r>
        <w:t xml:space="preserve"> </w:t>
      </w:r>
      <w:hyperlink r:id="rId14">
        <w:r>
          <w:rPr>
            <w:rStyle w:val="Hyperlink"/>
          </w:rPr>
          <w:t xml:space="preserve">monthly close</w:t>
        </w:r>
      </w:hyperlink>
      <w:r>
        <w:t xml:space="preserve">, and the payment as an owner equity/draw item, since income tax on your own earnings isn't deductible.</w:t>
      </w:r>
    </w:p>
    <w:bookmarkEnd w:id="15"/>
    <w:bookmarkStart w:id="17" w:name="_784a285be03e694288d1c2789046485142061d7"/>
    <w:p>
      <w:pPr>
        <w:pStyle w:val="Heading2"/>
      </w:pPr>
      <w:r>
        <w:t xml:space="preserve">Deductions to track from day one</w:t>
      </w:r>
    </w:p>
    <w:p>
      <w:pPr>
        <w:pStyle w:val="FirstParagraph"/>
      </w:pPr>
      <w:r>
        <w:t xml:space="preserve">Ask your CPA which apply: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Home office:</w:t>
      </w:r>
      <w:r>
        <w:t xml:space="preserve"> </w:t>
      </w:r>
      <w:r>
        <w:t xml:space="preserve">simplified method ($ per square foot, capped) or actual expenses (a share of rent/mortgage interest, utilities, insurance). Give home-office costs their own expense category.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Business mileage:</w:t>
      </w:r>
      <w:r>
        <w:t xml:space="preserve"> </w:t>
      </w:r>
      <w:r>
        <w:t xml:space="preserve">only with a contemporaneous log (see</w:t>
      </w:r>
      <w:r>
        <w:t xml:space="preserve"> </w:t>
      </w:r>
      <w:hyperlink r:id="rId16">
        <w:r>
          <w:rPr>
            <w:rStyle w:val="Hyperlink"/>
          </w:rPr>
          <w:t xml:space="preserve">CE tracking and practice logs</w:t>
        </w:r>
      </w:hyperlink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Health insurance premiums</w:t>
      </w:r>
      <w:r>
        <w:t xml:space="preserve"> </w:t>
      </w:r>
      <w:r>
        <w:t xml:space="preserve">for the self-employed.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Retirement contributions:</w:t>
      </w:r>
      <w:r>
        <w:t xml:space="preserve"> </w:t>
      </w:r>
      <w:r>
        <w:t xml:space="preserve">SEP-IRA or Solo 401(k).</w:t>
      </w:r>
    </w:p>
    <w:p>
      <w:pPr>
        <w:pStyle w:val="Compact"/>
        <w:numPr>
          <w:ilvl w:val="0"/>
          <w:numId w:val="1003"/>
        </w:numPr>
      </w:pPr>
      <w:r>
        <w:t xml:space="preserve">Licenses, continuing education (CE), malpractice insurance, your electronic health record (EHR) system, directory listings, professional memberships, consultation/supervision you pay for, and equipment.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Startup costs</w:t>
      </w:r>
      <w:r>
        <w:t xml:space="preserve"> </w:t>
      </w:r>
      <w:r>
        <w:t xml:space="preserve">incurred before you opened.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https://toolkit.marcusberley.com/ce-tracking/" TargetMode="External" /><Relationship Type="http://schemas.openxmlformats.org/officeDocument/2006/relationships/hyperlink" Id="rId14" Target="https://toolkit.marcusberley.com/monthly-clos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https://toolkit.marcusberley.com/ce-tracking/" TargetMode="External" /><Relationship Type="http://schemas.openxmlformats.org/officeDocument/2006/relationships/hyperlink" Id="rId14" Target="https://toolkit.marcusberley.com/monthly-clos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Quarterly taxes for a solo practice</dc:title>
  <dc:creator/>
  <cp:keywords/>
  <dcterms:created xsi:type="dcterms:W3CDTF">2026-10-11T11:52:09Z</dcterms:created>
  <dcterms:modified xsi:type="dcterms:W3CDTF">2026-10-11T11:52:09Z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