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Security risk analysis</w:t>
      </w:r>
    </w:p>
    <w:bookmarkStart w:id="19" w:name="_ea5b53ec697f7610fe56095c22c5f7b1c53042e"/>
    <w:p>
      <w:pPr>
        <w:pStyle w:val="Heading1"/>
      </w:pPr>
      <w:r>
        <w:t xml:space="preserve">Security risk analysis</w:t>
      </w:r>
    </w:p>
    <w:p>
      <w:pPr>
        <w:pStyle w:val="BlockText"/>
      </w:pPr>
      <w:r>
        <w:rPr>
          <w:b/>
          <w:bCs/>
        </w:rPr>
        <w:t xml:space="preserve">HIPAA explicitly requires a risk analysis, and it's the document solo practices most often lack.</w:t>
      </w:r>
      <w:r>
        <w:t xml:space="preserve"> </w:t>
      </w:r>
      <w:r>
        <w:t xml:space="preserve">It takes an afternoon. Replace the</w:t>
      </w:r>
      <w:r>
        <w:t xml:space="preserve"> </w:t>
      </w:r>
      <w:r>
        <w:rPr>
          <w:i/>
          <w:iCs/>
        </w:rPr>
        <w:t xml:space="preserve">example</w:t>
      </w:r>
      <w:r>
        <w:t xml:space="preserve"> </w:t>
      </w:r>
      <w:r>
        <w:t xml:space="preserve">rows with what you actually use, and where something is a gap, say so and give it a date: an analysis with no gaps isn't credible.</w:t>
      </w:r>
    </w:p>
    <w:p>
      <w:pPr>
        <w:pStyle w:val="FirstParagraph"/>
      </w:pPr>
      <w:r>
        <w:rPr>
          <w:b/>
          <w:bCs/>
        </w:rPr>
        <w:t xml:space="preserve">Year:</w:t>
      </w:r>
      <w:r>
        <w:t xml:space="preserve"> </w:t>
      </w:r>
      <w:r>
        <w:t xml:space="preserve">[Year]</w:t>
      </w:r>
      <w:r>
        <w:t xml:space="preserve"> </w:t>
      </w:r>
      <w:r>
        <w:rPr>
          <w:b/>
          <w:bCs/>
        </w:rPr>
        <w:t xml:space="preserve">Covered entity:</w:t>
      </w:r>
      <w:r>
        <w:t xml:space="preserve"> </w:t>
      </w:r>
      <w:r>
        <w:t xml:space="preserve">[Practice Name]</w:t>
      </w:r>
      <w:r>
        <w:t xml:space="preserve"> </w:t>
      </w:r>
      <w:r>
        <w:rPr>
          <w:b/>
          <w:bCs/>
        </w:rPr>
        <w:t xml:space="preserve">Conducted by:</w:t>
      </w:r>
      <w:r>
        <w:t xml:space="preserve"> </w:t>
      </w:r>
      <w:r>
        <w:t xml:space="preserve">[Your Name, credentials] (owner / sole workforce member)</w:t>
      </w:r>
      <w:r>
        <w:t xml:space="preserve"> </w:t>
      </w:r>
      <w:r>
        <w:rPr>
          <w:b/>
          <w:bCs/>
        </w:rPr>
        <w:t xml:space="preserve">Date conducted:</w:t>
      </w:r>
      <w:r>
        <w:t xml:space="preserve"> </w:t>
      </w:r>
      <w:r>
        <w:t xml:space="preserve">[Date]</w:t>
      </w:r>
      <w:r>
        <w:t xml:space="preserve"> </w:t>
      </w:r>
      <w:r>
        <w:rPr>
          <w:b/>
          <w:bCs/>
        </w:rPr>
        <w:t xml:space="preserve">Next scheduled review:</w:t>
      </w:r>
      <w:r>
        <w:t xml:space="preserve"> </w:t>
      </w:r>
      <w:r>
        <w:t xml:space="preserve">[Date, ~12 months out] and on any material change to systems</w:t>
      </w:r>
      <w:r>
        <w:t xml:space="preserve"> </w:t>
      </w:r>
      <w:r>
        <w:rPr>
          <w:b/>
          <w:bCs/>
        </w:rPr>
        <w:t xml:space="preserve">Basis:</w:t>
      </w:r>
      <w:r>
        <w:t xml:space="preserve"> </w:t>
      </w:r>
      <w:r>
        <w:t xml:space="preserve">HIPAA Security Rule, 45 CFR §§164.308–164.316</w:t>
      </w:r>
    </w:p>
    <w:p>
      <w:r>
        <w:pict>
          <v:rect style="width:0;height:1.5pt" o:hralign="center" o:hrstd="t" o:hr="t"/>
        </w:pict>
      </w:r>
    </w:p>
    <w:bookmarkStart w:id="9" w:name="_5fe993ad73754bcbfb877c78eade5d48fc16ef3"/>
    <w:p>
      <w:pPr>
        <w:pStyle w:val="Heading2"/>
      </w:pPr>
      <w:r>
        <w:t xml:space="preserve">1. Practice overview</w:t>
      </w:r>
    </w:p>
    <w:p>
      <w:pPr>
        <w:pStyle w:val="Compact"/>
        <w:numPr>
          <w:ilvl w:val="0"/>
          <w:numId w:val="1001"/>
        </w:numPr>
      </w:pPr>
      <w:r>
        <w:t xml:space="preserve">Solo private practice, fully out-of-network; clients pay directly.</w:t>
      </w:r>
    </w:p>
    <w:p>
      <w:pPr>
        <w:pStyle w:val="Compact"/>
        <w:numPr>
          <w:ilvl w:val="0"/>
          <w:numId w:val="1001"/>
        </w:numPr>
      </w:pPr>
      <w:r>
        <w:t xml:space="preserve">Licensed in [Washington / Rhode Island]; [telehealth only / in-person and telehealth].</w:t>
      </w:r>
    </w:p>
    <w:p>
      <w:pPr>
        <w:pStyle w:val="Compact"/>
        <w:numPr>
          <w:ilvl w:val="0"/>
          <w:numId w:val="1001"/>
        </w:numPr>
      </w:pPr>
      <w:r>
        <w:t xml:space="preserve">Workforce: one (the owner). No employees or contractors with access to protected health information (PHI).</w:t>
      </w:r>
    </w:p>
    <w:p>
      <w:pPr>
        <w:pStyle w:val="Compact"/>
        <w:numPr>
          <w:ilvl w:val="0"/>
          <w:numId w:val="1001"/>
        </w:numPr>
      </w:pPr>
      <w:r>
        <w:t xml:space="preserve">No outsourced billing, transcription, or admin staff.</w:t>
      </w:r>
    </w:p>
    <w:bookmarkEnd w:id="9"/>
    <w:bookmarkStart w:id="10" w:name="_7f2ea616c717ba43e86c48dd174fb9edce7e46c"/>
    <w:p>
      <w:pPr>
        <w:pStyle w:val="Heading2"/>
      </w:pPr>
      <w:r>
        <w:t xml:space="preserve">2. What counts as electronic PHI (ePHI) here</w:t>
      </w:r>
    </w:p>
    <w:p>
      <w:pPr>
        <w:pStyle w:val="Compact"/>
        <w:numPr>
          <w:ilvl w:val="0"/>
          <w:numId w:val="1002"/>
        </w:numPr>
      </w:pPr>
      <w:r>
        <w:t xml:space="preserve">Client demographics and contact information</w:t>
      </w:r>
    </w:p>
    <w:p>
      <w:pPr>
        <w:pStyle w:val="Compact"/>
        <w:numPr>
          <w:ilvl w:val="0"/>
          <w:numId w:val="1002"/>
        </w:numPr>
      </w:pPr>
      <w:r>
        <w:t xml:space="preserve">Appointment records and schedules</w:t>
      </w:r>
    </w:p>
    <w:p>
      <w:pPr>
        <w:pStyle w:val="Compact"/>
        <w:numPr>
          <w:ilvl w:val="0"/>
          <w:numId w:val="1002"/>
        </w:numPr>
      </w:pPr>
      <w:r>
        <w:t xml:space="preserve">Session notes, treatment plans, intake forms, and assessments</w:t>
      </w:r>
    </w:p>
    <w:p>
      <w:pPr>
        <w:pStyle w:val="Compact"/>
        <w:numPr>
          <w:ilvl w:val="0"/>
          <w:numId w:val="1002"/>
        </w:numPr>
      </w:pPr>
      <w:r>
        <w:t xml:space="preserve">Billing records: invoices, payments, and superbills (including diagnosis codes)</w:t>
      </w:r>
    </w:p>
    <w:p>
      <w:pPr>
        <w:pStyle w:val="Compact"/>
        <w:numPr>
          <w:ilvl w:val="0"/>
          <w:numId w:val="1002"/>
        </w:numPr>
      </w:pPr>
      <w:r>
        <w:t xml:space="preserve">Communications with clients: secure messages, any email, and voicemail</w:t>
      </w:r>
    </w:p>
    <w:p>
      <w:pPr>
        <w:pStyle w:val="FirstParagraph"/>
      </w:pPr>
      <w:r>
        <w:rPr>
          <w:b/>
          <w:bCs/>
        </w:rPr>
        <w:t xml:space="preserve">Volume:</w:t>
      </w:r>
      <w:r>
        <w:t xml:space="preserve"> </w:t>
      </w:r>
      <w:r>
        <w:t xml:space="preserve">approximately [N] active clients.</w:t>
      </w:r>
    </w:p>
    <w:bookmarkEnd w:id="10"/>
    <w:bookmarkStart w:id="12" w:name="_cd1d6d524e76dfc69d18982b26089198eecccb7"/>
    <w:p>
      <w:pPr>
        <w:pStyle w:val="Heading2"/>
      </w:pPr>
      <w:r>
        <w:t xml:space="preserve">3. System inventory</w:t>
      </w:r>
    </w:p>
    <w:p>
      <w:pPr>
        <w:pStyle w:val="FirstParagraph"/>
      </w:pPr>
      <w:r>
        <w:t xml:space="preserve">Every system that stores, touches, or could touch client information, including the boring ones. The last column records whether the vendor has signed a business associate agreement (BAA);</w:t>
      </w:r>
      <w:r>
        <w:t xml:space="preserve"> </w:t>
      </w:r>
      <w:hyperlink r:id="rId11">
        <w:r>
          <w:rPr>
            <w:rStyle w:val="Hyperlink"/>
          </w:rPr>
          <w:t xml:space="preserve">vendors and business associate agreements</w:t>
        </w:r>
      </w:hyperlink>
      <w:r>
        <w:t xml:space="preserve"> </w:t>
      </w:r>
      <w:r>
        <w:t xml:space="preserve">covers which vendors will.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System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ePHI?</w:t>
            </w:r>
          </w:p>
        </w:tc>
        <w:tc>
          <w:tcPr/>
          <w:p>
            <w:pPr>
              <w:pStyle w:val="Compact"/>
            </w:pPr>
            <w:r>
              <w:t xml:space="preserve">BAA?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Example:</w:t>
            </w:r>
            <w:r>
              <w:t xml:space="preserve"> </w:t>
            </w:r>
            <w:r>
              <w:t xml:space="preserve">SimplePractice</w:t>
            </w:r>
          </w:p>
        </w:tc>
        <w:tc>
          <w:tcPr/>
          <w:p>
            <w:pPr>
              <w:pStyle w:val="Compact"/>
            </w:pPr>
            <w:r>
              <w:t xml:space="preserve">Electronic health record (EHR): records, scheduling, billing, messaging, and telehealth</w:t>
            </w:r>
          </w:p>
        </w:tc>
        <w:tc>
          <w:tcPr/>
          <w:p>
            <w:pPr>
              <w:pStyle w:val="Compact"/>
            </w:pPr>
            <w:r>
              <w:t xml:space="preserve">Yes (primary)</w:t>
            </w:r>
          </w:p>
        </w:tc>
        <w:tc>
          <w:tcPr/>
          <w:p>
            <w:pPr>
              <w:pStyle w:val="Compact"/>
            </w:pPr>
            <w:r>
              <w:t xml:space="preserve">Yes: click-through, in force on account creation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Example:</w:t>
            </w:r>
            <w:r>
              <w:t xml:space="preserve"> </w:t>
            </w:r>
            <w:r>
              <w:t xml:space="preserve">Google Workspace (paid plan)</w:t>
            </w:r>
          </w:p>
        </w:tc>
        <w:tc>
          <w:tcPr/>
          <w:p>
            <w:pPr>
              <w:pStyle w:val="Compact"/>
            </w:pPr>
            <w:r>
              <w:t xml:space="preserve">Email, calendar, and drive</w:t>
            </w:r>
          </w:p>
        </w:tc>
        <w:tc>
          <w:tcPr/>
          <w:p>
            <w:pPr>
              <w:pStyle w:val="Compact"/>
            </w:pPr>
            <w:r>
              <w:t xml:space="preserve">Incidental</w:t>
            </w:r>
          </w:p>
        </w:tc>
        <w:tc>
          <w:tcPr/>
          <w:p>
            <w:pPr>
              <w:pStyle w:val="Compact"/>
            </w:pPr>
            <w:r>
              <w:t xml:space="preserve">Yes: accepted in Admin Console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Example:</w:t>
            </w:r>
            <w:r>
              <w:t xml:space="preserve"> </w:t>
            </w:r>
            <w:r>
              <w:t xml:space="preserve">Work laptop</w:t>
            </w:r>
          </w:p>
        </w:tc>
        <w:tc>
          <w:tcPr/>
          <w:p>
            <w:pPr>
              <w:pStyle w:val="Compact"/>
            </w:pPr>
            <w:r>
              <w:t xml:space="preserve">Workstation</w:t>
            </w:r>
          </w:p>
        </w:tc>
        <w:tc>
          <w:tcPr/>
          <w:p>
            <w:pPr>
              <w:pStyle w:val="Compact"/>
            </w:pPr>
            <w:r>
              <w:t xml:space="preserve">Only via browser sessions; no local storage by policy</w:t>
            </w:r>
          </w:p>
        </w:tc>
        <w:tc>
          <w:tcPr/>
          <w:p>
            <w:pPr>
              <w:pStyle w:val="Compact"/>
            </w:pPr>
            <w:r>
              <w:t xml:space="preserve">N/A (device)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Example:</w:t>
            </w:r>
            <w:r>
              <w:t xml:space="preserve"> </w:t>
            </w:r>
            <w:r>
              <w:t xml:space="preserve">Phone</w:t>
            </w:r>
          </w:p>
        </w:tc>
        <w:tc>
          <w:tcPr/>
          <w:p>
            <w:pPr>
              <w:pStyle w:val="Compact"/>
            </w:pPr>
            <w:r>
              <w:t xml:space="preserve">Calls, EHR app, and email app</w:t>
            </w:r>
          </w:p>
        </w:tc>
        <w:tc>
          <w:tcPr/>
          <w:p>
            <w:pPr>
              <w:pStyle w:val="Compact"/>
            </w:pPr>
            <w:r>
              <w:t xml:space="preserve">Via apps</w:t>
            </w:r>
          </w:p>
        </w:tc>
        <w:tc>
          <w:tcPr/>
          <w:p>
            <w:pPr>
              <w:pStyle w:val="Compact"/>
            </w:pPr>
            <w:r>
              <w:t xml:space="preserve">N/A (device); apps covered above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Example:</w:t>
            </w:r>
            <w:r>
              <w:t xml:space="preserve"> </w:t>
            </w:r>
            <w:r>
              <w:t xml:space="preserve">Calendly</w:t>
            </w:r>
          </w:p>
        </w:tc>
        <w:tc>
          <w:tcPr/>
          <w:p>
            <w:pPr>
              <w:pStyle w:val="Compact"/>
            </w:pPr>
            <w:r>
              <w:t xml:space="preserve">Consultation scheduling</w:t>
            </w:r>
          </w:p>
        </w:tc>
        <w:tc>
          <w:tcPr/>
          <w:p>
            <w:pPr>
              <w:pStyle w:val="Compact"/>
            </w:pPr>
            <w:r>
              <w:t xml:space="preserve">Minimal: prospect name, email, and phone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No: vendor doesn't sign BAAs.</w:t>
            </w:r>
            <w:r>
              <w:t xml:space="preserve"> </w:t>
            </w:r>
            <w:r>
              <w:t xml:space="preserve">Risk-accepted with minimum-necessary limit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Example:</w:t>
            </w:r>
            <w:r>
              <w:t xml:space="preserve"> </w:t>
            </w:r>
            <w:r>
              <w:t xml:space="preserve">Business bank</w:t>
            </w:r>
          </w:p>
        </w:tc>
        <w:tc>
          <w:tcPr/>
          <w:p>
            <w:pPr>
              <w:pStyle w:val="Compact"/>
            </w:pPr>
            <w:r>
              <w:t xml:space="preserve">Receives payments</w:t>
            </w:r>
          </w:p>
        </w:tc>
        <w:tc>
          <w:tcPr/>
          <w:p>
            <w:pPr>
              <w:pStyle w:val="Compact"/>
            </w:pPr>
            <w:r>
              <w:t xml:space="preserve">Minimal: payer names</w:t>
            </w:r>
          </w:p>
        </w:tc>
        <w:tc>
          <w:tcPr/>
          <w:p>
            <w:pPr>
              <w:pStyle w:val="Compact"/>
            </w:pPr>
            <w:r>
              <w:t xml:space="preserve">N/A: financial data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Example:</w:t>
            </w:r>
            <w:r>
              <w:t xml:space="preserve"> </w:t>
            </w:r>
            <w:r>
              <w:t xml:space="preserve">Bookkeeping (QuickBooks / spreadsheet / other)</w:t>
            </w:r>
          </w:p>
        </w:tc>
        <w:tc>
          <w:tcPr/>
          <w:p>
            <w:pPr>
              <w:pStyle w:val="Compact"/>
            </w:pPr>
            <w:r>
              <w:t xml:space="preserve">Books</w:t>
            </w:r>
          </w:p>
        </w:tc>
        <w:tc>
          <w:tcPr/>
          <w:p>
            <w:pPr>
              <w:pStyle w:val="Compact"/>
            </w:pPr>
            <w:r>
              <w:t xml:space="preserve">None by policy (no client names in memos)</w:t>
            </w:r>
          </w:p>
        </w:tc>
        <w:tc>
          <w:tcPr/>
          <w:p>
            <w:pPr>
              <w:pStyle w:val="Compact"/>
            </w:pPr>
            <w:r>
              <w:t xml:space="preserve">N/A with no-PHI rule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Example:</w:t>
            </w:r>
            <w:r>
              <w:t xml:space="preserve"> </w:t>
            </w:r>
            <w:r>
              <w:t xml:space="preserve">iCloud / personal cloud</w:t>
            </w:r>
          </w:p>
        </w:tc>
        <w:tc>
          <w:tcPr/>
          <w:p>
            <w:pPr>
              <w:pStyle w:val="Compact"/>
            </w:pPr>
            <w:r>
              <w:t xml:space="preserve">Device sync and contacts</w:t>
            </w:r>
          </w:p>
        </w:tc>
        <w:tc>
          <w:tcPr/>
          <w:p>
            <w:pPr>
              <w:pStyle w:val="Compact"/>
            </w:pPr>
            <w:r>
              <w:t xml:space="preserve">Limited: first name, last initial, and phone in contacts only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 BAA available.</w:t>
            </w:r>
            <w:r>
              <w:t xml:space="preserve"> </w:t>
            </w:r>
            <w:r>
              <w:t xml:space="preserve">Risk-accepted; no clinical files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Paper</w:t>
            </w:r>
          </w:p>
        </w:tc>
        <w:tc>
          <w:tcPr/>
          <w:p>
            <w:pPr>
              <w:pStyle w:val="Compact"/>
            </w:pPr>
            <w:r>
              <w:t xml:space="preserve">Records</w:t>
            </w:r>
          </w:p>
        </w:tc>
        <w:tc>
          <w:tcPr/>
          <w:p>
            <w:pPr>
              <w:pStyle w:val="Compact"/>
            </w:pPr>
            <w:r>
              <w:t xml:space="preserve">[None (fully paperless) / describe]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Action items from the inventory:</w:t>
      </w:r>
      <w:r>
        <w:t xml:space="preserve"> </w:t>
      </w:r>
      <w:r>
        <w:t xml:space="preserve">[e.g. confirm BAA on file for #1 and #2; write the risk-acceptance note for #5 and #8.]</w:t>
      </w:r>
    </w:p>
    <w:bookmarkEnd w:id="12"/>
    <w:bookmarkStart w:id="13" w:name="_a0359874f5004470d3d562390d9d5c69f12a210"/>
    <w:p>
      <w:pPr>
        <w:pStyle w:val="Heading2"/>
      </w:pPr>
      <w:r>
        <w:t xml:space="preserve">4. Administrative safeguards (§164.308)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Requirement</w:t>
            </w:r>
          </w:p>
        </w:tc>
        <w:tc>
          <w:tcPr/>
          <w:p>
            <w:pPr>
              <w:pStyle w:val="Compact"/>
            </w:pPr>
            <w:r>
              <w:t xml:space="preserve">Current state</w:t>
            </w:r>
          </w:p>
        </w:tc>
        <w:tc>
          <w:tcPr/>
          <w:p>
            <w:pPr>
              <w:pStyle w:val="Compact"/>
            </w:pPr>
            <w:r>
              <w:t xml:space="preserve">Gap / action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management process</w:t>
            </w:r>
          </w:p>
        </w:tc>
        <w:tc>
          <w:tcPr/>
          <w:p>
            <w:pPr>
              <w:pStyle w:val="Compact"/>
            </w:pPr>
            <w:r>
              <w:t xml:space="preserve">This document is the risk analysis.</w:t>
            </w:r>
          </w:p>
        </w:tc>
        <w:tc>
          <w:tcPr/>
          <w:p>
            <w:pPr>
              <w:pStyle w:val="Compact"/>
            </w:pPr>
            <w:r>
              <w:t xml:space="preserve">Review annually.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Assigned security responsibility</w:t>
            </w:r>
          </w:p>
        </w:tc>
        <w:tc>
          <w:tcPr/>
          <w:p>
            <w:pPr>
              <w:pStyle w:val="Compact"/>
            </w:pPr>
            <w:r>
              <w:t xml:space="preserve">Owner is Security Official.</w:t>
            </w:r>
          </w:p>
        </w:tc>
        <w:tc>
          <w:tcPr/>
          <w:p>
            <w:pPr>
              <w:pStyle w:val="Compact"/>
            </w:pPr>
            <w:r>
              <w:t xml:space="preserve">Named in Policies &amp; Procedures.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Workforce security</w:t>
            </w:r>
          </w:p>
        </w:tc>
        <w:tc>
          <w:tcPr/>
          <w:p>
            <w:pPr>
              <w:pStyle w:val="Compact"/>
            </w:pPr>
            <w:r>
              <w:t xml:space="preserve">N/A: no workforce.</w:t>
            </w:r>
          </w:p>
        </w:tc>
        <w:tc>
          <w:tcPr/>
          <w:p>
            <w:pPr>
              <w:pStyle w:val="Compact"/>
            </w:pPr>
            <w:r>
              <w:t xml:space="preserve">Revisit before any hire/contractor.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Information access management</w:t>
            </w:r>
          </w:p>
        </w:tc>
        <w:tc>
          <w:tcPr/>
          <w:p>
            <w:pPr>
              <w:pStyle w:val="Compact"/>
            </w:pPr>
            <w:r>
              <w:t xml:space="preserve">Owner has sole access to all systems.</w:t>
            </w:r>
          </w:p>
        </w:tc>
        <w:tc>
          <w:tcPr/>
          <w:p>
            <w:pPr>
              <w:pStyle w:val="Compact"/>
            </w:pPr>
            <w:r>
              <w:t xml:space="preserve">Documented.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awareness &amp; training</w:t>
            </w:r>
          </w:p>
        </w:tc>
        <w:tc>
          <w:tcPr/>
          <w:p>
            <w:pPr>
              <w:pStyle w:val="Compact"/>
            </w:pPr>
            <w:r>
              <w:t xml:space="preserve">[Date of last training / scheduled date]</w:t>
            </w:r>
          </w:p>
        </w:tc>
        <w:tc>
          <w:tcPr/>
          <w:p>
            <w:pPr>
              <w:pStyle w:val="Compact"/>
            </w:pPr>
            <w:r>
              <w:t xml:space="preserve">Log completion in Process Log.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incident procedures</w:t>
            </w:r>
          </w:p>
        </w:tc>
        <w:tc>
          <w:tcPr/>
          <w:p>
            <w:pPr>
              <w:pStyle w:val="Compact"/>
            </w:pPr>
            <w:r>
              <w:t xml:space="preserve">Breach procedure in Policies &amp; Procedures.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Contingency plan</w:t>
            </w:r>
          </w:p>
        </w:tc>
        <w:tc>
          <w:tcPr/>
          <w:p>
            <w:pPr>
              <w:pStyle w:val="Compact"/>
            </w:pPr>
            <w:r>
              <w:t xml:space="preserve">EHR vendor handles backup and disaster recovery under BAA; outage steps in Policies &amp; Procedures.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Evaluation</w:t>
            </w:r>
          </w:p>
        </w:tc>
        <w:tc>
          <w:tcPr/>
          <w:p>
            <w:pPr>
              <w:pStyle w:val="Compact"/>
            </w:pPr>
            <w:r>
              <w:t xml:space="preserve">This document.</w:t>
            </w:r>
          </w:p>
        </w:tc>
        <w:tc>
          <w:tcPr/>
          <w:p>
            <w:pPr>
              <w:pStyle w:val="Compact"/>
            </w:pPr>
            <w:r>
              <w:t xml:space="preserve">Annually and on change.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Business associate contracts</w:t>
            </w:r>
          </w:p>
        </w:tc>
        <w:tc>
          <w:tcPr/>
          <w:p>
            <w:pPr>
              <w:pStyle w:val="Compact"/>
            </w:pPr>
            <w:r>
              <w:t xml:space="preserve">[List in force; list risk-accepted vendors]</w:t>
            </w:r>
          </w:p>
        </w:tc>
        <w:tc>
          <w:tcPr/>
          <w:p>
            <w:pPr>
              <w:pStyle w:val="Compact"/>
            </w:pPr>
            <w:r>
              <w:t xml:space="preserve">[Any missing?]</w:t>
            </w:r>
          </w:p>
        </w:tc>
      </w:tr>
    </w:tbl>
    <w:bookmarkEnd w:id="13"/>
    <w:bookmarkStart w:id="14" w:name="_0daf7e23c30bcf7c340409b44975968d792c51d"/>
    <w:p>
      <w:pPr>
        <w:pStyle w:val="Heading2"/>
      </w:pPr>
      <w:r>
        <w:t xml:space="preserve">5. Physical safeguards (§164.310)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Requirement</w:t>
            </w:r>
          </w:p>
        </w:tc>
        <w:tc>
          <w:tcPr/>
          <w:p>
            <w:pPr>
              <w:pStyle w:val="Compact"/>
            </w:pPr>
            <w:r>
              <w:t xml:space="preserve">Current state</w:t>
            </w:r>
          </w:p>
        </w:tc>
        <w:tc>
          <w:tcPr/>
          <w:p>
            <w:pPr>
              <w:pStyle w:val="Compact"/>
            </w:pPr>
            <w:r>
              <w:t xml:space="preserve">Gap / action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Facility access</w:t>
            </w:r>
          </w:p>
        </w:tc>
        <w:tc>
          <w:tcPr/>
          <w:p>
            <w:pPr>
              <w:pStyle w:val="Compact"/>
            </w:pPr>
            <w:r>
              <w:t xml:space="preserve">[e.g. Home office; door locked when unattended; home locked when empty. Household has access to the house but not to devices.]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Workstation use</w:t>
            </w:r>
          </w:p>
        </w:tc>
        <w:tc>
          <w:tcPr/>
          <w:p>
            <w:pPr>
              <w:pStyle w:val="Compact"/>
            </w:pPr>
            <w:r>
              <w:t xml:space="preserve">[Devices are sole-use; no shared accounts.]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Workstation security</w:t>
            </w:r>
          </w:p>
        </w:tc>
        <w:tc>
          <w:tcPr/>
          <w:p>
            <w:pPr>
              <w:pStyle w:val="Compact"/>
            </w:pPr>
            <w:r>
              <w:t xml:space="preserve">[Disk encryption on; auto-lock ≤ 5 minutes; phone passcode and biometric.]</w:t>
            </w:r>
          </w:p>
        </w:tc>
        <w:tc>
          <w:tcPr/>
          <w:p>
            <w:pPr>
              <w:pStyle w:val="Compact"/>
            </w:pPr>
            <w:r>
              <w:t xml:space="preserve">Verify encryption is actually on. Don't assume.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Device &amp; media controls</w:t>
            </w:r>
          </w:p>
        </w:tc>
        <w:tc>
          <w:tcPr/>
          <w:p>
            <w:pPr>
              <w:pStyle w:val="Compact"/>
            </w:pPr>
            <w:r>
              <w:t xml:space="preserve">[Factory erase before disposal, logged. No USB/external storage for PHI. Backups are vendor-managed.]</w:t>
            </w:r>
          </w:p>
        </w:tc>
        <w:tc>
          <w:tcPr/>
          <w:p>
            <w:pPr>
              <w:pStyle w:val="Compact"/>
            </w:pPr>
          </w:p>
        </w:tc>
      </w:tr>
    </w:tbl>
    <w:bookmarkEnd w:id="14"/>
    <w:bookmarkStart w:id="15" w:name="_fe71a13292d79286306f7f51019854a27dde06f"/>
    <w:p>
      <w:pPr>
        <w:pStyle w:val="Heading2"/>
      </w:pPr>
      <w:r>
        <w:t xml:space="preserve">6. Technical safeguards (§164.312)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Requirement</w:t>
            </w:r>
          </w:p>
        </w:tc>
        <w:tc>
          <w:tcPr/>
          <w:p>
            <w:pPr>
              <w:pStyle w:val="Compact"/>
            </w:pPr>
            <w:r>
              <w:t xml:space="preserve">Current state</w:t>
            </w:r>
          </w:p>
        </w:tc>
        <w:tc>
          <w:tcPr/>
          <w:p>
            <w:pPr>
              <w:pStyle w:val="Compact"/>
            </w:pPr>
            <w:r>
              <w:t xml:space="preserve">Gap / action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Access control</w:t>
            </w:r>
          </w:p>
        </w:tc>
        <w:tc>
          <w:tcPr/>
          <w:p>
            <w:pPr>
              <w:pStyle w:val="Compact"/>
            </w:pPr>
            <w:r>
              <w:t xml:space="preserve">Unique accounts; vendor encryption at rest; auto-logoff defaults.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Audit controls</w:t>
            </w:r>
          </w:p>
        </w:tc>
        <w:tc>
          <w:tcPr/>
          <w:p>
            <w:pPr>
              <w:pStyle w:val="Compact"/>
            </w:pPr>
            <w:r>
              <w:t xml:space="preserve">EHR and email audit logs exist.</w:t>
            </w:r>
          </w:p>
        </w:tc>
        <w:tc>
          <w:tcPr/>
          <w:p>
            <w:pPr>
              <w:pStyle w:val="Compact"/>
            </w:pPr>
            <w:r>
              <w:t xml:space="preserve">Set a spot-check cadence (e.g. quarterly).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Integrity</w:t>
            </w:r>
          </w:p>
        </w:tc>
        <w:tc>
          <w:tcPr/>
          <w:p>
            <w:pPr>
              <w:pStyle w:val="Compact"/>
            </w:pPr>
            <w:r>
              <w:t xml:space="preserve">Vendor version history / restore.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Authentication</w:t>
            </w:r>
          </w:p>
        </w:tc>
        <w:tc>
          <w:tcPr/>
          <w:p>
            <w:pPr>
              <w:pStyle w:val="Compact"/>
            </w:pPr>
            <w:r>
              <w:t xml:space="preserve">Multi-factor authentication (MFA) verified on [EHR, email, device account, bank, and password manager] on [date].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Transmission security</w:t>
            </w:r>
          </w:p>
        </w:tc>
        <w:tc>
          <w:tcPr/>
          <w:p>
            <w:pPr>
              <w:pStyle w:val="Compact"/>
            </w:pPr>
            <w:r>
              <w:t xml:space="preserve">PHI only via EHR portal or BAA-covered email.</w:t>
            </w:r>
          </w:p>
        </w:tc>
        <w:tc>
          <w:tcPr/>
          <w:p>
            <w:pPr>
              <w:pStyle w:val="Compact"/>
            </w:pPr>
            <w:r>
              <w:t xml:space="preserve">Put "please use the portal" language in onboarding.</w:t>
            </w:r>
          </w:p>
        </w:tc>
      </w:tr>
    </w:tbl>
    <w:bookmarkEnd w:id="15"/>
    <w:bookmarkStart w:id="16" w:name="_f56efcc7a074a1ef3f863bd33a8d935763ab7e2"/>
    <w:p>
      <w:pPr>
        <w:pStyle w:val="Heading2"/>
      </w:pPr>
      <w:r>
        <w:t xml:space="preserve">7. Risk register</w:t>
      </w:r>
    </w:p>
    <w:p>
      <w:pPr>
        <w:pStyle w:val="FirstParagraph"/>
      </w:pPr>
      <w:r>
        <w:t xml:space="preserve">Likelihood and impact: Low / Medium / High. Residual = after current controls.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Risk</w:t>
            </w:r>
          </w:p>
        </w:tc>
        <w:tc>
          <w:tcPr/>
          <w:p>
            <w:pPr>
              <w:pStyle w:val="Compact"/>
            </w:pPr>
            <w:r>
              <w:t xml:space="preserve">Likelihood</w:t>
            </w:r>
          </w:p>
        </w:tc>
        <w:tc>
          <w:tcPr/>
          <w:p>
            <w:pPr>
              <w:pStyle w:val="Compact"/>
            </w:pPr>
            <w:r>
              <w:t xml:space="preserve">Impact</w:t>
            </w:r>
          </w:p>
        </w:tc>
        <w:tc>
          <w:tcPr/>
          <w:p>
            <w:pPr>
              <w:pStyle w:val="Compact"/>
            </w:pPr>
            <w:r>
              <w:t xml:space="preserve">Current control</w:t>
            </w:r>
          </w:p>
        </w:tc>
        <w:tc>
          <w:tcPr/>
          <w:p>
            <w:pPr>
              <w:pStyle w:val="Compact"/>
            </w:pPr>
            <w:r>
              <w:t xml:space="preserve">Residual</w:t>
            </w:r>
          </w:p>
        </w:tc>
        <w:tc>
          <w:tcPr/>
          <w:p>
            <w:pPr>
              <w:pStyle w:val="Compact"/>
            </w:pPr>
            <w:r>
              <w:t xml:space="preserve">Remediation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R1</w:t>
            </w:r>
          </w:p>
        </w:tc>
        <w:tc>
          <w:tcPr/>
          <w:p>
            <w:pPr>
              <w:pStyle w:val="Compact"/>
            </w:pPr>
            <w:r>
              <w:t xml:space="preserve">Laptop lost or stolen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Disk encryption, auto-lock, MFA, and remote wipe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  <w:tc>
          <w:tcPr/>
          <w:p>
            <w:pPr>
              <w:pStyle w:val="Compact"/>
            </w:pPr>
            <w:r>
              <w:t xml:space="preserve">Verify at each annual review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R2</w:t>
            </w:r>
          </w:p>
        </w:tc>
        <w:tc>
          <w:tcPr/>
          <w:p>
            <w:pPr>
              <w:pStyle w:val="Compact"/>
            </w:pPr>
            <w:r>
              <w:t xml:space="preserve">Clinical PHI saved somewhere unapproved (desktop, personal cloud)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No-local-PHI policy</w:t>
            </w:r>
          </w:p>
        </w:tc>
        <w:tc>
          <w:tcPr/>
          <w:p>
            <w:pPr>
              <w:pStyle w:val="Compact"/>
            </w:pPr>
            <w:r>
              <w:t xml:space="preserve">Low if followed</w:t>
            </w:r>
          </w:p>
        </w:tc>
        <w:tc>
          <w:tcPr/>
          <w:p>
            <w:pPr>
              <w:pStyle w:val="Compact"/>
            </w:pPr>
            <w:r>
              <w:t xml:space="preserve">Periodic spot-check of Downloads/Desktop</w:t>
            </w:r>
          </w:p>
        </w:tc>
      </w:tr>
      <w:tr>
        <w:tc>
          <w:tcPr/>
          <w:p>
            <w:pPr>
              <w:pStyle w:val="Compact"/>
            </w:pPr>
            <w:r>
              <w:t xml:space="preserve">R3</w:t>
            </w:r>
          </w:p>
        </w:tc>
        <w:tc>
          <w:tcPr/>
          <w:p>
            <w:pPr>
              <w:pStyle w:val="Compact"/>
            </w:pPr>
            <w:r>
              <w:t xml:space="preserve">PHI sent by plain email or text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Portal-only policy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  <w:tc>
          <w:tcPr/>
          <w:p>
            <w:pPr>
              <w:pStyle w:val="Compact"/>
            </w:pPr>
            <w:r>
              <w:t xml:space="preserve">Onboarding language; redirect clients who email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R4</w:t>
            </w:r>
          </w:p>
        </w:tc>
        <w:tc>
          <w:tcPr/>
          <w:p>
            <w:pPr>
              <w:pStyle w:val="Compact"/>
            </w:pPr>
            <w:r>
              <w:t xml:space="preserve">Vendor breach (EHR, email)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BAAs, vendor security programs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  <w:tc>
          <w:tcPr/>
          <w:p>
            <w:pPr>
              <w:pStyle w:val="Compact"/>
            </w:pPr>
            <w:r>
              <w:t xml:space="preserve">Watch vendor breach notices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R5</w:t>
            </w:r>
          </w:p>
        </w:tc>
        <w:tc>
          <w:tcPr/>
          <w:p>
            <w:pPr>
              <w:pStyle w:val="Compact"/>
            </w:pPr>
            <w:r>
              <w:t xml:space="preserve">Phishing → account takeover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MFA everywhere, password manager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  <w:tc>
          <w:tcPr/>
          <w:p>
            <w:pPr>
              <w:pStyle w:val="Compact"/>
            </w:pPr>
            <w:r>
              <w:t xml:space="preserve">Annual training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R6</w:t>
            </w:r>
          </w:p>
        </w:tc>
        <w:tc>
          <w:tcPr/>
          <w:p>
            <w:pPr>
              <w:pStyle w:val="Compact"/>
            </w:pPr>
            <w:r>
              <w:t xml:space="preserve">Phone lost or stolen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Passcode, remote wipe, and app-level logins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  <w:tc>
          <w:tcPr/>
          <w:p>
            <w:pPr>
              <w:pStyle w:val="Compact"/>
            </w:pPr>
            <w:r>
              <w:t xml:space="preserve">Confirm remote wipe is 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R7</w:t>
            </w:r>
          </w:p>
        </w:tc>
        <w:tc>
          <w:tcPr/>
          <w:p>
            <w:pPr>
              <w:pStyle w:val="Compact"/>
            </w:pPr>
            <w:r>
              <w:t xml:space="preserve">Old device disposed without erasure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Written erase-and-log procedure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  <w:tc>
          <w:tcPr/>
          <w:p>
            <w:pPr>
              <w:pStyle w:val="Compact"/>
            </w:pPr>
            <w:r>
              <w:t xml:space="preserve">Follow at next upgrade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R8</w:t>
            </w:r>
          </w:p>
        </w:tc>
        <w:tc>
          <w:tcPr/>
          <w:p>
            <w:pPr>
              <w:pStyle w:val="Compact"/>
            </w:pPr>
            <w:r>
              <w:t xml:space="preserve">Family member uses a work device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Sole-use policy, separate accounts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R9</w:t>
            </w:r>
          </w:p>
        </w:tc>
        <w:tc>
          <w:tcPr/>
          <w:p>
            <w:pPr>
              <w:pStyle w:val="Compact"/>
            </w:pPr>
            <w:r>
              <w:t xml:space="preserve">[Your own, e.g. PHI pasted into an AI tool without a BAA]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[AI policy]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6"/>
    <w:bookmarkStart w:id="17" w:name="_13016e07d52652c013685c5c215d7d9edafff69"/>
    <w:p>
      <w:pPr>
        <w:pStyle w:val="Heading2"/>
      </w:pPr>
      <w:r>
        <w:t xml:space="preserve">8. Findings</w:t>
      </w:r>
    </w:p>
    <w:p>
      <w:pPr>
        <w:pStyle w:val="Compact"/>
        <w:numPr>
          <w:ilvl w:val="0"/>
          <w:numId w:val="1003"/>
        </w:numPr>
      </w:pPr>
      <w:r>
        <w:t xml:space="preserve">With no workforce, most administrative safeguards are "owner-only" or "N/A."</w:t>
      </w:r>
      <w:r>
        <w:t xml:space="preserve"> </w:t>
      </w:r>
      <w:r>
        <w:rPr>
          <w:b/>
          <w:bCs/>
        </w:rPr>
        <w:t xml:space="preserve">Write that down,</w:t>
      </w:r>
      <w:r>
        <w:t xml:space="preserve"> </w:t>
      </w:r>
      <w:r>
        <w:t xml:space="preserve">because a blank looks like a gap.</w:t>
      </w:r>
    </w:p>
    <w:p>
      <w:pPr>
        <w:pStyle w:val="Compact"/>
        <w:numPr>
          <w:ilvl w:val="0"/>
          <w:numId w:val="1003"/>
        </w:numPr>
      </w:pPr>
      <w:r>
        <w:t xml:space="preserve">The main residual risks are</w:t>
      </w:r>
      <w:r>
        <w:t xml:space="preserve"> </w:t>
      </w:r>
      <w:r>
        <w:rPr>
          <w:b/>
          <w:bCs/>
        </w:rPr>
        <w:t xml:space="preserve">endpoints</w:t>
      </w:r>
      <w:r>
        <w:t xml:space="preserve"> </w:t>
      </w:r>
      <w:r>
        <w:t xml:space="preserve">(laptop and phone), controlled by encryption, MFA, and remote wipe if verified.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Vendors without BAAs</w:t>
      </w:r>
      <w:r>
        <w:t xml:space="preserve"> </w:t>
      </w:r>
      <w:r>
        <w:t xml:space="preserve">are the most common real gap: get the BAA, keep PHI out, or document a minimum-necessary risk acceptance.</w:t>
      </w:r>
    </w:p>
    <w:bookmarkEnd w:id="17"/>
    <w:bookmarkStart w:id="18" w:name="_4265fa191db07eaebda8c522cf8e0582377de13"/>
    <w:p>
      <w:pPr>
        <w:pStyle w:val="Heading2"/>
      </w:pPr>
      <w:r>
        <w:t xml:space="preserve">9. Open items before sign-off</w:t>
      </w:r>
    </w:p>
    <w:p>
      <w:pPr>
        <w:pStyle w:val="Compact"/>
        <w:numPr>
          <w:ilvl w:val="0"/>
          <w:numId w:val="1004"/>
        </w:numPr>
      </w:pPr>
      <w:r>
        <w:t xml:space="preserve">Disk encryption verified on every device</w:t>
      </w:r>
    </w:p>
    <w:p>
      <w:pPr>
        <w:pStyle w:val="Compact"/>
        <w:numPr>
          <w:ilvl w:val="0"/>
          <w:numId w:val="1005"/>
        </w:numPr>
      </w:pPr>
      <w:r>
        <w:t xml:space="preserve">MFA verified on EHR, email, device account, bank, and password manager</w:t>
      </w:r>
    </w:p>
    <w:p>
      <w:pPr>
        <w:pStyle w:val="Compact"/>
        <w:numPr>
          <w:ilvl w:val="0"/>
          <w:numId w:val="1006"/>
        </w:numPr>
      </w:pPr>
      <w:r>
        <w:t xml:space="preserve">BAAs on file (or risk acceptance written) for every vendor in §3</w:t>
      </w:r>
    </w:p>
    <w:p>
      <w:pPr>
        <w:pStyle w:val="Compact"/>
        <w:numPr>
          <w:ilvl w:val="0"/>
          <w:numId w:val="1007"/>
        </w:numPr>
      </w:pPr>
      <w:r>
        <w:t xml:space="preserve">Physical security described</w:t>
      </w:r>
    </w:p>
    <w:p>
      <w:pPr>
        <w:pStyle w:val="Compact"/>
        <w:numPr>
          <w:ilvl w:val="0"/>
          <w:numId w:val="1008"/>
        </w:numPr>
      </w:pPr>
      <w:r>
        <w:t xml:space="preserve">Device disposal procedure written</w:t>
      </w:r>
    </w:p>
    <w:p>
      <w:pPr>
        <w:pStyle w:val="Compact"/>
        <w:numPr>
          <w:ilvl w:val="0"/>
          <w:numId w:val="1009"/>
        </w:numPr>
      </w:pPr>
      <w:r>
        <w:t xml:space="preserve">Paper records policy decided</w:t>
      </w:r>
    </w:p>
    <w:p>
      <w:pPr>
        <w:pStyle w:val="Compact"/>
        <w:numPr>
          <w:ilvl w:val="0"/>
          <w:numId w:val="1010"/>
        </w:numPr>
      </w:pPr>
      <w:r>
        <w:t xml:space="preserve">First annual training scheduled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Template shared in the Private Practice Toolkit. Not legal, tax, clinical, or compliance advice. The U.S. Department of Health and Human Services (HHS) also publishes a free Security Risk Assessment (SRA) Tool at healthit.gov if you prefer a guided questionnaire.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  <w:num w:numId="1010">
    <w:abstractNumId w:val="992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toolkit.marcusberley.com/vendor-baa-checklis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toolkit.marcusberley.com/vendor-baa-checklis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risk analysis</dc:title>
  <dc:creator/>
  <cp:keywords/>
  <dcterms:created xsi:type="dcterms:W3CDTF">2026-10-11T11:52:08Z</dcterms:created>
  <dcterms:modified xsi:type="dcterms:W3CDTF">2026-10-11T11:52:08Z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