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Vendors and business associate agreements</w:t>
      </w:r>
    </w:p>
    <w:bookmarkStart w:id="16" w:name="_403cefc5934ca1fe06fed024ad5d034821c5c44"/>
    <w:p>
      <w:pPr>
        <w:pStyle w:val="Heading1"/>
      </w:pPr>
      <w:r>
        <w:t xml:space="preserve">Vendors and business associate agreements</w:t>
      </w:r>
    </w:p>
    <w:p>
      <w:pPr>
        <w:pStyle w:val="BlockText"/>
      </w:pPr>
      <w:r>
        <w:rPr>
          <w:b/>
          <w:bCs/>
        </w:rPr>
        <w:t xml:space="preserve">Every vendor that stores or handles client information for you needs a signed business associate agreement (BAA) before client information goes in.</w:t>
      </w:r>
      <w:r>
        <w:t xml:space="preserve"> </w:t>
      </w:r>
      <w:r>
        <w:t xml:space="preserve">When a useful vendor won't sign, you have three options: stop using it, keep client information out of it entirely, or limit what goes in to the bare minimum and document that you accepted the risk.</w:t>
      </w:r>
    </w:p>
    <w:p>
      <w:pPr>
        <w:pStyle w:val="FirstParagraph"/>
      </w:pPr>
      <w:r>
        <w:t xml:space="preserve">Vendor positions change. Confirm each one when you sign up and at your annual review, and keep a dated copy of whatever you relied on.</w:t>
      </w:r>
    </w:p>
    <w:p>
      <w:r>
        <w:pict>
          <v:rect style="width:0;height:1.5pt" o:hralign="center" o:hrstd="t" o:hr="t"/>
        </w:pict>
      </w:r>
    </w:p>
    <w:bookmarkStart w:id="11" w:name="_8bb6d6e619a77df11ce21ac8d273694f4ce752c"/>
    <w:p>
      <w:pPr>
        <w:pStyle w:val="Heading2"/>
      </w:pPr>
      <w:r>
        <w:t xml:space="preserve">The typical solo-practice stack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Tool type</w:t>
            </w:r>
          </w:p>
        </w:tc>
        <w:tc>
          <w:tcPr/>
          <w:p>
            <w:pPr>
              <w:pStyle w:val="Compact"/>
            </w:pPr>
            <w:r>
              <w:t xml:space="preserve">Examples</w:t>
            </w:r>
          </w:p>
        </w:tc>
        <w:tc>
          <w:tcPr/>
          <w:p>
            <w:pPr>
              <w:pStyle w:val="Compact"/>
            </w:pPr>
            <w:r>
              <w:t xml:space="preserve">BAA?</w:t>
            </w:r>
          </w:p>
        </w:tc>
        <w:tc>
          <w:tcPr/>
          <w:p>
            <w:pPr>
              <w:pStyle w:val="Compact"/>
            </w:pPr>
            <w:r>
              <w:t xml:space="preserve">How it usually works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Electronic health record (EHR) / practice management</w:t>
            </w:r>
          </w:p>
        </w:tc>
        <w:tc>
          <w:tcPr/>
          <w:p>
            <w:pPr>
              <w:pStyle w:val="Compact"/>
            </w:pPr>
            <w:r>
              <w:t xml:space="preserve">SimplePractice, TherapyNotes, Headway-style platforms, Sessions Health</w:t>
            </w:r>
          </w:p>
        </w:tc>
        <w:tc>
          <w:tcPr/>
          <w:p>
            <w:pPr>
              <w:pStyle w:val="Compact"/>
            </w:pPr>
            <w:r>
              <w:t xml:space="preserve">Yes: a core requirement</w:t>
            </w:r>
          </w:p>
        </w:tc>
        <w:tc>
          <w:tcPr/>
          <w:p>
            <w:pPr>
              <w:pStyle w:val="Compact"/>
            </w:pPr>
            <w:r>
              <w:t xml:space="preserve">Often a click-through BAA, effective when you create the account. File a copy anyway.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Email, calendar, file storage</w:t>
            </w:r>
          </w:p>
        </w:tc>
        <w:tc>
          <w:tcPr/>
          <w:p>
            <w:pPr>
              <w:pStyle w:val="Compact"/>
            </w:pPr>
            <w:r>
              <w:t xml:space="preserve">Google Workspace (paid), Microsoft 365 (business plans)</w:t>
            </w:r>
          </w:p>
        </w:tc>
        <w:tc>
          <w:tcPr/>
          <w:p>
            <w:pPr>
              <w:pStyle w:val="Compact"/>
            </w:pPr>
            <w:r>
              <w:t xml:space="preserve">Yes, on paid business plans</w:t>
            </w:r>
          </w:p>
        </w:tc>
        <w:tc>
          <w:tcPr/>
          <w:p>
            <w:pPr>
              <w:pStyle w:val="Compact"/>
            </w:pPr>
            <w:r>
              <w:t xml:space="preserve">Accepted in the admin console and covers specific services only (see</w:t>
            </w:r>
            <w:r>
              <w:t xml:space="preserve"> </w:t>
            </w:r>
            <w:hyperlink r:id="rId9">
              <w:r>
                <w:rPr>
                  <w:rStyle w:val="Hyperlink"/>
                </w:rPr>
                <w:t xml:space="preserve">Google Workspace HIPAA setup</w:t>
              </w:r>
            </w:hyperlink>
            <w:r>
              <w:t xml:space="preserve">). Free consumer accounts can't be covered.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Telehealth video</w:t>
            </w:r>
          </w:p>
        </w:tc>
        <w:tc>
          <w:tcPr/>
          <w:p>
            <w:pPr>
              <w:pStyle w:val="Compact"/>
            </w:pPr>
            <w:r>
              <w:t xml:space="preserve">The EHR's built-in video; Zoom for Healthcare; Doxy.me</w:t>
            </w:r>
          </w:p>
        </w:tc>
        <w:tc>
          <w:tcPr/>
          <w:p>
            <w:pPr>
              <w:pStyle w:val="Compact"/>
            </w:pPr>
            <w:r>
              <w:t xml:space="preserve">Usually yes</w:t>
            </w:r>
          </w:p>
        </w:tc>
        <w:tc>
          <w:tcPr/>
          <w:p>
            <w:pPr>
              <w:pStyle w:val="Compact"/>
            </w:pPr>
            <w:r>
              <w:t xml:space="preserve">Prefer the EHR's video: one less vendor. Standard Zoom plans don't include a BAA.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Scheduling for consultations</w:t>
            </w:r>
          </w:p>
        </w:tc>
        <w:tc>
          <w:tcPr/>
          <w:p>
            <w:pPr>
              <w:pStyle w:val="Compact"/>
            </w:pPr>
            <w:r>
              <w:t xml:space="preserve">Calendly</w:t>
            </w:r>
          </w:p>
        </w:tc>
        <w:tc>
          <w:tcPr/>
          <w:p>
            <w:pPr>
              <w:pStyle w:val="Compact"/>
            </w:pPr>
            <w:r>
              <w:t xml:space="preserve">Calendly has not offered BAAs</w:t>
            </w:r>
          </w:p>
        </w:tc>
        <w:tc>
          <w:tcPr/>
          <w:p>
            <w:pPr>
              <w:pStyle w:val="Compact"/>
            </w:pPr>
            <w:r>
              <w:t xml:space="preserve">Use it for prospective-client consults only, collect only name, email, phone, and time, and document the risk acceptance. Or use the EHR's booking widget.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Payments</w:t>
            </w:r>
          </w:p>
        </w:tc>
        <w:tc>
          <w:tcPr/>
          <w:p>
            <w:pPr>
              <w:pStyle w:val="Compact"/>
            </w:pPr>
            <w:r>
              <w:t xml:space="preserve">Stripe via the EHR</w:t>
            </w:r>
          </w:p>
        </w:tc>
        <w:tc>
          <w:tcPr/>
          <w:p>
            <w:pPr>
              <w:pStyle w:val="Compact"/>
            </w:pPr>
            <w:r>
              <w:t xml:space="preserve">Payment processing is generally exempt from BAA requirements</w:t>
            </w:r>
          </w:p>
        </w:tc>
        <w:tc>
          <w:tcPr/>
          <w:p>
            <w:pPr>
              <w:pStyle w:val="Compact"/>
            </w:pPr>
            <w:r>
              <w:t xml:space="preserve">Keep clinical detail out of payment descriptions.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Bank / bookkeeping</w:t>
            </w:r>
          </w:p>
        </w:tc>
        <w:tc>
          <w:tcPr/>
          <w:p>
            <w:pPr>
              <w:pStyle w:val="Compact"/>
            </w:pPr>
            <w:r>
              <w:t xml:space="preserve">Business checking; QuickBooks; spreadsheets</w:t>
            </w:r>
          </w:p>
        </w:tc>
        <w:tc>
          <w:tcPr/>
          <w:p>
            <w:pPr>
              <w:pStyle w:val="Compact"/>
            </w:pPr>
            <w:r>
              <w:t xml:space="preserve">Generally no BAA available, and none needed if no protected health information (PHI) goes in</w:t>
            </w:r>
          </w:p>
        </w:tc>
        <w:tc>
          <w:tcPr/>
          <w:p>
            <w:pPr>
              <w:pStyle w:val="Compact"/>
            </w:pPr>
            <w:r>
              <w:t xml:space="preserve">Use aggregate deposits or anonymized IDs, never client names in memos or categories.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Phone / texting</w:t>
            </w:r>
          </w:p>
        </w:tc>
        <w:tc>
          <w:tcPr/>
          <w:p>
            <w:pPr>
              <w:pStyle w:val="Compact"/>
            </w:pPr>
            <w:r>
              <w:t xml:space="preserve">Personal cell; Google Voice (managed Workspace user); dedicated business line apps</w:t>
            </w:r>
          </w:p>
        </w:tc>
        <w:tc>
          <w:tcPr/>
          <w:p>
            <w:pPr>
              <w:pStyle w:val="Compact"/>
            </w:pPr>
            <w:r>
              <w:t xml:space="preserve">Varies</w:t>
            </w:r>
          </w:p>
        </w:tc>
        <w:tc>
          <w:tcPr/>
          <w:p>
            <w:pPr>
              <w:pStyle w:val="Compact"/>
            </w:pPr>
            <w:r>
              <w:t xml:space="preserve">Say what you use the phone for in your Disclosure Statement. Limit client contacts on the phone to first name, last initial, and number.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Personal cloud / operating system</w:t>
            </w:r>
          </w:p>
        </w:tc>
        <w:tc>
          <w:tcPr/>
          <w:p>
            <w:pPr>
              <w:pStyle w:val="Compact"/>
            </w:pPr>
            <w:r>
              <w:t xml:space="preserve">iCloud, Apple Intelligence, OneDrive personal</w:t>
            </w:r>
          </w:p>
        </w:tc>
        <w:tc>
          <w:tcPr/>
          <w:p>
            <w:pPr>
              <w:pStyle w:val="Compact"/>
            </w:pPr>
            <w:r>
              <w:t xml:space="preserve">No BAA available</w:t>
            </w:r>
          </w:p>
        </w:tc>
        <w:tc>
          <w:tcPr/>
          <w:p>
            <w:pPr>
              <w:pStyle w:val="Compact"/>
            </w:pPr>
            <w:r>
              <w:t xml:space="preserve">No clinical files. Document the posture.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Fax</w:t>
            </w:r>
          </w:p>
        </w:tc>
        <w:tc>
          <w:tcPr/>
          <w:p>
            <w:pPr>
              <w:pStyle w:val="Compact"/>
            </w:pPr>
            <w:r>
              <w:t xml:space="preserve">eFax services</w:t>
            </w:r>
          </w:p>
        </w:tc>
        <w:tc>
          <w:tcPr/>
          <w:p>
            <w:pPr>
              <w:pStyle w:val="Compact"/>
            </w:pPr>
            <w:r>
              <w:t xml:space="preserve">Some offer BAAs on HIPAA plans</w:t>
            </w:r>
          </w:p>
        </w:tc>
        <w:tc>
          <w:tcPr/>
          <w:p>
            <w:pPr>
              <w:pStyle w:val="Compact"/>
            </w:pPr>
            <w:r>
              <w:t xml:space="preserve">Only if you actually need fax.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AI tools</w:t>
            </w:r>
          </w:p>
        </w:tc>
        <w:tc>
          <w:tcPr/>
          <w:p>
            <w:pPr>
              <w:pStyle w:val="Compact"/>
            </w:pPr>
            <w:r>
              <w:t xml:space="preserve">ChatGPT, Claude, Gemini consumer; AI scribes</w:t>
            </w:r>
          </w:p>
        </w:tc>
        <w:tc>
          <w:tcPr/>
          <w:p>
            <w:pPr>
              <w:pStyle w:val="Compact"/>
            </w:pPr>
            <w:r>
              <w:t xml:space="preserve">General chatbots: no BAA on standard tiers. Clinical scribes: usually yes.</w:t>
            </w:r>
          </w:p>
        </w:tc>
        <w:tc>
          <w:tcPr/>
          <w:p>
            <w:pPr>
              <w:pStyle w:val="Compact"/>
            </w:pPr>
            <w:r>
              <w:t xml:space="preserve">See the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AI policy</w:t>
              </w:r>
            </w:hyperlink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Website contact forms</w:t>
            </w:r>
          </w:p>
        </w:tc>
        <w:tc>
          <w:tcPr/>
          <w:p>
            <w:pPr>
              <w:pStyle w:val="Compact"/>
            </w:pPr>
            <w:r>
              <w:t xml:space="preserve">Squarespace/Wix forms, Formspree</w:t>
            </w:r>
          </w:p>
        </w:tc>
        <w:tc>
          <w:tcPr/>
          <w:p>
            <w:pPr>
              <w:pStyle w:val="Compact"/>
            </w:pPr>
            <w:r>
              <w:t xml:space="preserve">Usually not</w:t>
            </w:r>
          </w:p>
        </w:tc>
        <w:tc>
          <w:tcPr/>
          <w:p>
            <w:pPr>
              <w:pStyle w:val="Compact"/>
            </w:pPr>
            <w:r>
              <w:t xml:space="preserve">Keep the form short and add "Please don't include clinical details here," or link to the EHR's request form instead.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4" w:name="_84d244aa4ca3f2cd292bae5637836115ecd58bf"/>
    <w:p>
      <w:pPr>
        <w:pStyle w:val="Heading2"/>
      </w:pPr>
      <w:r>
        <w:t xml:space="preserve">When a vendor won't sign</w:t>
      </w:r>
    </w:p>
    <w:p>
      <w:pPr>
        <w:pStyle w:val="FirstParagraph"/>
      </w:pPr>
      <w:r>
        <w:t xml:space="preserve">Record a risk acceptance in the vendor table of your</w:t>
      </w:r>
      <w:r>
        <w:t xml:space="preserve"> </w:t>
      </w:r>
      <w:hyperlink r:id="rId12">
        <w:r>
          <w:rPr>
            <w:rStyle w:val="Hyperlink"/>
          </w:rPr>
          <w:t xml:space="preserve">HIPAA policies and procedures</w:t>
        </w:r>
      </w:hyperlink>
      <w:r>
        <w:t xml:space="preserve"> </w:t>
      </w:r>
      <w:r>
        <w:t xml:space="preserve">and in your</w:t>
      </w:r>
      <w:r>
        <w:t xml:space="preserve"> </w:t>
      </w:r>
      <w:hyperlink r:id="rId13">
        <w:r>
          <w:rPr>
            <w:rStyle w:val="Hyperlink"/>
          </w:rPr>
          <w:t xml:space="preserve">HIPAA process log</w:t>
        </w:r>
      </w:hyperlink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Vendor:          [name]</w:t>
      </w:r>
      <w:r>
        <w:br/>
      </w:r>
      <w:r>
        <w:rPr>
          <w:rStyle w:val="VerbatimChar"/>
        </w:rPr>
        <w:t xml:space="preserve">Decision date:   [date]</w:t>
      </w:r>
      <w:r>
        <w:br/>
      </w:r>
      <w:r>
        <w:rPr>
          <w:rStyle w:val="VerbatimChar"/>
        </w:rPr>
        <w:t xml:space="preserve">Used for:        [purpose]</w:t>
      </w:r>
      <w:r>
        <w:br/>
      </w:r>
      <w:r>
        <w:rPr>
          <w:rStyle w:val="VerbatimChar"/>
        </w:rPr>
        <w:t xml:space="preserve">Data allowed:    [the minimum, e.g. name, email, phone, appointment time]</w:t>
      </w:r>
      <w:r>
        <w:br/>
      </w:r>
      <w:r>
        <w:rPr>
          <w:rStyle w:val="VerbatimChar"/>
        </w:rPr>
        <w:t xml:space="preserve">Never entered:   [clinical content, date of birth, insurance, diagnosis, notes]</w:t>
      </w:r>
      <w:r>
        <w:br/>
      </w:r>
      <w:r>
        <w:rPr>
          <w:rStyle w:val="VerbatimChar"/>
        </w:rPr>
        <w:t xml:space="preserve">Why keep it:     [the functional value vs. alternatives]</w:t>
      </w:r>
      <w:r>
        <w:br/>
      </w:r>
      <w:r>
        <w:rPr>
          <w:rStyle w:val="VerbatimChar"/>
        </w:rPr>
        <w:t xml:space="preserve">Review:          at annual risk analysis</w:t>
      </w:r>
    </w:p>
    <w:bookmarkEnd w:id="14"/>
    <w:bookmarkStart w:id="15" w:name="_fc5343249dfd6bce82c8e56dff64ae21dde6dfd"/>
    <w:p>
      <w:pPr>
        <w:pStyle w:val="Heading2"/>
      </w:pPr>
      <w:r>
        <w:t xml:space="preserve">Filing BAAs</w:t>
      </w:r>
    </w:p>
    <w:p>
      <w:pPr>
        <w:pStyle w:val="Compact"/>
        <w:numPr>
          <w:ilvl w:val="0"/>
          <w:numId w:val="1001"/>
        </w:numPr>
      </w:pPr>
      <w:r>
        <w:t xml:space="preserve">Save each BAA as a PDF named with the date and vendor (</w:t>
      </w:r>
      <w:r>
        <w:rPr>
          <w:rStyle w:val="VerbatimChar"/>
        </w:rPr>
        <w:t xml:space="preserve">2026-05-01 BAA - [Vendor].pdf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For click-through agreements, also screenshot the acceptance.</w:t>
      </w:r>
    </w:p>
    <w:p>
      <w:pPr>
        <w:pStyle w:val="Compact"/>
        <w:numPr>
          <w:ilvl w:val="0"/>
          <w:numId w:val="1001"/>
        </w:numPr>
      </w:pPr>
      <w:r>
        <w:t xml:space="preserve">Log each in the process log's BAA register.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https://toolkit.marcusberley.com/ai-policy/" TargetMode="External" /><Relationship Type="http://schemas.openxmlformats.org/officeDocument/2006/relationships/hyperlink" Id="rId9" Target="https://toolkit.marcusberley.com/google-workspace-hipaa-setup/" TargetMode="External" /><Relationship Type="http://schemas.openxmlformats.org/officeDocument/2006/relationships/hyperlink" Id="rId12" Target="https://toolkit.marcusberley.com/hipaa-policies-and-procedures/" TargetMode="External" /><Relationship Type="http://schemas.openxmlformats.org/officeDocument/2006/relationships/hyperlink" Id="rId13" Target="https://toolkit.marcusberley.com/hipaa-process-log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toolkit.marcusberley.com/ai-policy/" TargetMode="External" /><Relationship Type="http://schemas.openxmlformats.org/officeDocument/2006/relationships/hyperlink" Id="rId9" Target="https://toolkit.marcusberley.com/google-workspace-hipaa-setup/" TargetMode="External" /><Relationship Type="http://schemas.openxmlformats.org/officeDocument/2006/relationships/hyperlink" Id="rId12" Target="https://toolkit.marcusberley.com/hipaa-policies-and-procedures/" TargetMode="External" /><Relationship Type="http://schemas.openxmlformats.org/officeDocument/2006/relationships/hyperlink" Id="rId13" Target="https://toolkit.marcusberley.com/hipaa-process-log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Vendors and business associate agreements</dc:title>
  <dc:creator/>
  <cp:keywords/>
  <dcterms:created xsi:type="dcterms:W3CDTF">2026-10-11T11:52:09Z</dcterms:created>
  <dcterms:modified xsi:type="dcterms:W3CDTF">2026-10-11T11:52:09Z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